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970C690" w14:textId="39176855" w:rsidR="00DF0465" w:rsidRDefault="00DF0465" w:rsidP="00DF0465">
      <w:pPr>
        <w:jc w:val="center"/>
        <w:rPr>
          <w:sz w:val="32"/>
          <w:szCs w:val="32"/>
        </w:rPr>
      </w:pPr>
      <w:r w:rsidRPr="00DF0465">
        <w:rPr>
          <w:rFonts w:hint="eastAsia"/>
          <w:sz w:val="32"/>
          <w:szCs w:val="32"/>
        </w:rPr>
        <w:t>노무라 증권</w:t>
      </w:r>
    </w:p>
    <w:p w14:paraId="7B183D5A" w14:textId="64815B25" w:rsidR="00DF0465" w:rsidRPr="00DF0465" w:rsidRDefault="00DF0465" w:rsidP="00DF0465">
      <w:pPr>
        <w:rPr>
          <w:rFonts w:hint="eastAsia"/>
          <w:szCs w:val="22"/>
        </w:rPr>
      </w:pPr>
      <w:r>
        <w:rPr>
          <w:rFonts w:hint="eastAsia"/>
          <w:szCs w:val="22"/>
        </w:rPr>
        <w:t>1.</w:t>
      </w:r>
      <w:r w:rsidRPr="00DF0465">
        <w:rPr>
          <w:rFonts w:hint="eastAsia"/>
          <w:szCs w:val="22"/>
        </w:rPr>
        <w:t>사업 summary</w:t>
      </w:r>
    </w:p>
    <w:p w14:paraId="7C2D2CAF" w14:textId="43D9AAD5" w:rsidR="00DF0465" w:rsidRPr="002B0988" w:rsidRDefault="00DF0465" w:rsidP="00DF0465">
      <w:pPr>
        <w:ind w:firstLineChars="100" w:firstLine="220"/>
        <w:rPr>
          <w:rFonts w:eastAsia="Yu Mincho" w:hint="eastAsia"/>
          <w:szCs w:val="22"/>
          <w:lang w:eastAsia="ja-JP"/>
        </w:rPr>
      </w:pPr>
      <w:r>
        <w:rPr>
          <w:rFonts w:ascii="맑은 고딕" w:hAnsi="맑은 고딕" w:cs="맑은 고딕" w:hint="eastAsia"/>
          <w:szCs w:val="22"/>
        </w:rPr>
        <w:t xml:space="preserve">노무라 증권은 </w:t>
      </w:r>
      <w:r w:rsidRPr="00DF0465">
        <w:rPr>
          <w:rFonts w:ascii="맑은 고딕" w:eastAsia="맑은 고딕" w:hAnsi="맑은 고딕" w:cs="맑은 고딕" w:hint="eastAsia"/>
          <w:szCs w:val="22"/>
        </w:rPr>
        <w:t>자산운용</w:t>
      </w:r>
      <w:r w:rsidRPr="00DF0465">
        <w:rPr>
          <w:rFonts w:eastAsia="Yu Mincho"/>
          <w:szCs w:val="22"/>
        </w:rPr>
        <w:t xml:space="preserve"> </w:t>
      </w:r>
      <w:r w:rsidRPr="00DF0465">
        <w:rPr>
          <w:rFonts w:ascii="맑은 고딕" w:eastAsia="맑은 고딕" w:hAnsi="맑은 고딕" w:cs="맑은 고딕" w:hint="eastAsia"/>
          <w:szCs w:val="22"/>
        </w:rPr>
        <w:t>상담</w:t>
      </w:r>
      <w:r w:rsidRPr="00DF0465">
        <w:rPr>
          <w:rFonts w:eastAsia="Yu Mincho"/>
          <w:szCs w:val="22"/>
        </w:rPr>
        <w:t xml:space="preserve">, </w:t>
      </w:r>
      <w:r w:rsidRPr="00DF0465">
        <w:rPr>
          <w:rFonts w:ascii="맑은 고딕" w:eastAsia="맑은 고딕" w:hAnsi="맑은 고딕" w:cs="맑은 고딕" w:hint="eastAsia"/>
          <w:szCs w:val="22"/>
        </w:rPr>
        <w:t>주식</w:t>
      </w:r>
      <w:r w:rsidRPr="00DF0465">
        <w:rPr>
          <w:rFonts w:eastAsia="Yu Mincho"/>
          <w:szCs w:val="22"/>
        </w:rPr>
        <w:t>·</w:t>
      </w:r>
      <w:r w:rsidRPr="00DF0465">
        <w:rPr>
          <w:rFonts w:ascii="맑은 고딕" w:eastAsia="맑은 고딕" w:hAnsi="맑은 고딕" w:cs="맑은 고딕" w:hint="eastAsia"/>
          <w:szCs w:val="22"/>
        </w:rPr>
        <w:t>투자신탁</w:t>
      </w:r>
      <w:r w:rsidRPr="00DF0465">
        <w:rPr>
          <w:rFonts w:eastAsia="Yu Mincho"/>
          <w:szCs w:val="22"/>
        </w:rPr>
        <w:t>·</w:t>
      </w:r>
      <w:r w:rsidRPr="00DF0465">
        <w:rPr>
          <w:rFonts w:ascii="맑은 고딕" w:eastAsia="맑은 고딕" w:hAnsi="맑은 고딕" w:cs="맑은 고딕" w:hint="eastAsia"/>
          <w:szCs w:val="22"/>
        </w:rPr>
        <w:t>채권을</w:t>
      </w:r>
      <w:r w:rsidRPr="00DF0465">
        <w:rPr>
          <w:rFonts w:eastAsia="Yu Mincho"/>
          <w:szCs w:val="22"/>
        </w:rPr>
        <w:t xml:space="preserve"> </w:t>
      </w:r>
      <w:r w:rsidRPr="00DF0465">
        <w:rPr>
          <w:rFonts w:ascii="맑은 고딕" w:eastAsia="맑은 고딕" w:hAnsi="맑은 고딕" w:cs="맑은 고딕" w:hint="eastAsia"/>
          <w:szCs w:val="22"/>
        </w:rPr>
        <w:t>비롯한</w:t>
      </w:r>
      <w:r w:rsidRPr="00DF0465">
        <w:rPr>
          <w:rFonts w:eastAsia="Yu Mincho"/>
          <w:szCs w:val="22"/>
        </w:rPr>
        <w:t xml:space="preserve"> </w:t>
      </w:r>
      <w:r w:rsidRPr="00DF0465">
        <w:rPr>
          <w:rFonts w:ascii="맑은 고딕" w:eastAsia="맑은 고딕" w:hAnsi="맑은 고딕" w:cs="맑은 고딕" w:hint="eastAsia"/>
          <w:szCs w:val="22"/>
        </w:rPr>
        <w:t>자산운용</w:t>
      </w:r>
      <w:r w:rsidRPr="00DF0465">
        <w:rPr>
          <w:rFonts w:eastAsia="Yu Mincho"/>
          <w:szCs w:val="22"/>
        </w:rPr>
        <w:t xml:space="preserve"> </w:t>
      </w:r>
      <w:r w:rsidRPr="00DF0465">
        <w:rPr>
          <w:rFonts w:ascii="맑은 고딕" w:eastAsia="맑은 고딕" w:hAnsi="맑은 고딕" w:cs="맑은 고딕" w:hint="eastAsia"/>
          <w:szCs w:val="22"/>
        </w:rPr>
        <w:t>컨설팅</w:t>
      </w:r>
      <w:r w:rsidRPr="00DF0465">
        <w:rPr>
          <w:rFonts w:eastAsia="Yu Mincho"/>
          <w:szCs w:val="22"/>
        </w:rPr>
        <w:t xml:space="preserve"> </w:t>
      </w:r>
      <w:r w:rsidRPr="00DF0465">
        <w:rPr>
          <w:rFonts w:ascii="맑은 고딕" w:eastAsia="맑은 고딕" w:hAnsi="맑은 고딕" w:cs="맑은 고딕" w:hint="eastAsia"/>
          <w:szCs w:val="22"/>
        </w:rPr>
        <w:t>증권회사</w:t>
      </w:r>
      <w:r>
        <w:rPr>
          <w:rFonts w:ascii="맑은 고딕" w:eastAsia="맑은 고딕" w:hAnsi="맑은 고딕" w:cs="맑은 고딕" w:hint="eastAsia"/>
          <w:szCs w:val="22"/>
        </w:rPr>
        <w:t xml:space="preserve">이다. </w:t>
      </w:r>
      <w:r>
        <w:rPr>
          <w:rFonts w:ascii="맑은 고딕" w:hAnsi="맑은 고딕" w:cs="맑은 고딕" w:hint="eastAsia"/>
          <w:szCs w:val="22"/>
        </w:rPr>
        <w:t xml:space="preserve">또한 업계에서 매출 1위이다. 영업이익은 2억 4867억엔을 기록했다. </w:t>
      </w:r>
    </w:p>
    <w:p w14:paraId="29661708" w14:textId="51927F5E" w:rsidR="00DF0465" w:rsidRDefault="00DF0465" w:rsidP="00DF0465">
      <w:pPr>
        <w:rPr>
          <w:rFonts w:eastAsia="Yu Mincho"/>
          <w:szCs w:val="22"/>
          <w:lang w:eastAsia="ja-JP"/>
        </w:rPr>
      </w:pPr>
      <w:r>
        <w:rPr>
          <w:rFonts w:hint="eastAsia"/>
          <w:szCs w:val="22"/>
        </w:rPr>
        <w:t>2.연간 결산서 2년분</w:t>
      </w:r>
    </w:p>
    <w:p w14:paraId="662E4B7E" w14:textId="77777777" w:rsidR="002B0988" w:rsidRDefault="002B0988" w:rsidP="00DF0465">
      <w:pPr>
        <w:rPr>
          <w:szCs w:val="22"/>
        </w:rPr>
      </w:pPr>
      <w:r>
        <w:rPr>
          <w:rFonts w:hint="eastAsia"/>
          <w:szCs w:val="22"/>
        </w:rPr>
        <w:t>2023년도</w:t>
      </w:r>
    </w:p>
    <w:p w14:paraId="654AA283" w14:textId="66DB3BDB" w:rsidR="002B0988" w:rsidRDefault="002B0988" w:rsidP="00DF0465">
      <w:pPr>
        <w:rPr>
          <w:szCs w:val="22"/>
        </w:rPr>
      </w:pPr>
      <w:hyperlink r:id="rId5" w:history="1">
        <w:r w:rsidRPr="00636C39">
          <w:rPr>
            <w:rStyle w:val="aa"/>
            <w:rFonts w:eastAsia="Yu Mincho"/>
            <w:szCs w:val="22"/>
            <w:lang w:eastAsia="ja-JP"/>
          </w:rPr>
          <w:t>https://www.nomuraholdings.com/jp/investor/summary/financial/data/2024_full_usgaap.pdf</w:t>
        </w:r>
      </w:hyperlink>
    </w:p>
    <w:p w14:paraId="0B5B45B9" w14:textId="2467EA74" w:rsidR="002B0988" w:rsidRDefault="002B0988" w:rsidP="00DF0465">
      <w:pPr>
        <w:rPr>
          <w:szCs w:val="22"/>
        </w:rPr>
      </w:pPr>
      <w:r>
        <w:rPr>
          <w:rFonts w:hint="eastAsia"/>
          <w:szCs w:val="22"/>
        </w:rPr>
        <w:t>2022년도</w:t>
      </w:r>
    </w:p>
    <w:p w14:paraId="0207D4BC" w14:textId="6CBF0A06" w:rsidR="002B0988" w:rsidRDefault="002B0988" w:rsidP="00DF0465">
      <w:pPr>
        <w:rPr>
          <w:rFonts w:hint="eastAsia"/>
          <w:szCs w:val="22"/>
        </w:rPr>
      </w:pPr>
      <w:r w:rsidRPr="002B0988">
        <w:rPr>
          <w:szCs w:val="22"/>
        </w:rPr>
        <w:t>https://www.nomuraholdings.com/jp/investor/summary/financial/data/2023_full_usgaap.pdf</w:t>
      </w:r>
    </w:p>
    <w:p w14:paraId="4B59CAEC" w14:textId="7FBD6520" w:rsidR="00DF0465" w:rsidRDefault="00DF0465" w:rsidP="00DF0465">
      <w:pPr>
        <w:rPr>
          <w:rFonts w:eastAsia="Yu Mincho"/>
          <w:szCs w:val="22"/>
          <w:lang w:eastAsia="ja-JP"/>
        </w:rPr>
      </w:pPr>
      <w:r>
        <w:rPr>
          <w:rFonts w:hint="eastAsia"/>
          <w:szCs w:val="22"/>
        </w:rPr>
        <w:t>3.사업보고서 또는 중장기 계획서</w:t>
      </w:r>
    </w:p>
    <w:p w14:paraId="367A8759" w14:textId="1F1AF767" w:rsidR="002B0988" w:rsidRPr="002B0988" w:rsidRDefault="002B0988" w:rsidP="00DF0465">
      <w:pPr>
        <w:rPr>
          <w:rFonts w:hint="eastAsia"/>
          <w:szCs w:val="22"/>
        </w:rPr>
      </w:pPr>
      <w:r>
        <w:rPr>
          <w:rFonts w:hint="eastAsia"/>
          <w:szCs w:val="22"/>
        </w:rPr>
        <w:t xml:space="preserve">2023년도 </w:t>
      </w:r>
    </w:p>
    <w:p w14:paraId="365F1109" w14:textId="37883161" w:rsidR="002B0988" w:rsidRPr="002B0988" w:rsidRDefault="002B0988" w:rsidP="00DF0465">
      <w:pPr>
        <w:rPr>
          <w:rFonts w:eastAsia="Yu Mincho" w:hint="eastAsia"/>
          <w:szCs w:val="22"/>
          <w:lang w:eastAsia="ja-JP"/>
        </w:rPr>
      </w:pPr>
      <w:r w:rsidRPr="002B0988">
        <w:rPr>
          <w:rFonts w:eastAsia="Yu Mincho"/>
          <w:szCs w:val="22"/>
          <w:lang w:eastAsia="ja-JP"/>
        </w:rPr>
        <w:t>https://www.nomuraholdings.com/jp/investor/library/ar/data/120_1q_jsec.pdf</w:t>
      </w:r>
    </w:p>
    <w:p w14:paraId="67543B51" w14:textId="77777777" w:rsidR="002B0988" w:rsidRDefault="002B0988" w:rsidP="00DF0465">
      <w:pPr>
        <w:rPr>
          <w:rFonts w:hint="eastAsia"/>
          <w:szCs w:val="22"/>
        </w:rPr>
      </w:pPr>
    </w:p>
    <w:p w14:paraId="5D6F0DBF" w14:textId="556A67F3" w:rsidR="002B0988" w:rsidRDefault="00DF0465" w:rsidP="00DF0465">
      <w:pPr>
        <w:rPr>
          <w:szCs w:val="22"/>
        </w:rPr>
      </w:pPr>
      <w:r>
        <w:rPr>
          <w:rFonts w:hint="eastAsia"/>
          <w:szCs w:val="22"/>
        </w:rPr>
        <w:t>4.회사의 비전 또는 경영자의 인사글</w:t>
      </w:r>
    </w:p>
    <w:p w14:paraId="2B806A9D" w14:textId="77777777" w:rsidR="00070E6A" w:rsidRDefault="00070E6A" w:rsidP="00DF0465">
      <w:pPr>
        <w:rPr>
          <w:rFonts w:hint="eastAsia"/>
          <w:szCs w:val="22"/>
        </w:rPr>
      </w:pPr>
    </w:p>
    <w:p w14:paraId="54277485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「커뮤니케이션을 철저히 하자」라는 것은 젊을 때부터 제가 계속해서 중요하게 여겨온 것입니다. 매일의 커뮤니케이션을 통해 고객을 얼마나 잘 이해하고, 더 나은 제안을 할 수 있는지, 동료의 생각을 확실히 이해하고 상대방의 입장에서 소통함으로써 서로의 동기 부여를 높여갑니다. 그렇게 함으로써 빠른 연계와 팀워크로 비즈니스를 추진해 나갈 수 있도록 노력하고 있습니다.</w:t>
      </w:r>
    </w:p>
    <w:p w14:paraId="08AE00FD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노무라 그룹에서는 약 4할의 직원이 약 30개국과 지역에서 일하고 있으며, 그 국적은 약 90개에 이릅니다. 홀세일 부문의 수익은 약 3분의 2가 해외, 나머지 3분의 1이 일본 관련 비즈니스에서 나오고 있습니다.</w:t>
      </w:r>
    </w:p>
    <w:p w14:paraId="1668A841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 xml:space="preserve">다양한 인재와 다양한 가치관이야말로 노무라 그룹의 경쟁력의 원천입니다. 변화가 빠른 환경 속에서 고객에게 높은 부가가치를 계속해서 제공하기 위해서는, 각 개인이 가진 능력을 최대한 발휘할 수 있는 환경과 시스템이 중요합니다. 누구에게나 공평하게 기회가 </w:t>
      </w:r>
      <w:r w:rsidRPr="00070E6A">
        <w:rPr>
          <w:szCs w:val="22"/>
        </w:rPr>
        <w:lastRenderedPageBreak/>
        <w:t>주어지고, 경력을 쌓을 수 있도록 개인의 능력과 경험에 주목하고자 합니다.</w:t>
      </w:r>
    </w:p>
    <w:p w14:paraId="480B7DE2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그룹의 톱으로서 제 역할은 "변화를 만들어 내는 것"과 "변화를 촉진하는 것"이라고 생각합니다. 그룹 CEO에 취임했을 때, "노무라를 지금 있는 위치와는 다른 곳으로, 다음 단계로 나아가게 한다"는 생각 아래, 그 실현을 위한 전략으로서 "공공 영역에 더해, 프라이빗 영역으로의 확장 및 강화"를 제시했습니다. 이후, 일관된 전략 아래 필요한 조치를 착실히 취해왔습니다. 변화를 만들어내기 위해 필요한 체제와 플랫폼 정비는 진행되어 왔습니다. 비즈니스를 착실히 추진하여 확실한 성과를 내는 데 그룹 전체가 전력을 다할 것입니다.</w:t>
      </w:r>
    </w:p>
    <w:p w14:paraId="7BE930BF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올해 4월, 노무라 그룹의 퍼포스로서 "금융자본시장의 힘으로, 세계와 함께 도전하며 풍요로운 사회를 실현한다"를 수립했습니다. "풍요로운 사회의 실현"을 위해 고객을 비롯한 모든 이해관계자의 "도전", 즉 무엇인가를 개선하고 더 나은 방향으로 변화시키고자 하는 생각을 함께 실현해 나가고자 합니다.</w:t>
      </w:r>
    </w:p>
    <w:p w14:paraId="3C0013EF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당사의 기업 가치 향상과 사회 전체의 지속 가능한 성장은 같은 길 위에 있다고 생각합니다. 어느 한쪽에 치우치지 않고, 우리가 하는 비즈니스의 결과로서 사회적 과제 해결에 기여하는 동시에, 제대로 된 수익을 창출함으로써 그곳에 지속 가능성이 생깁니다. 그리고 직원들도 자신들의 일에 자부심을 가지고 임할 수 있습니다.</w:t>
      </w:r>
    </w:p>
    <w:p w14:paraId="6A099E19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새롭게 수립한 퍼포스를 바탕으로, 2030년을 향한 경영 비전으로 "지속 가능한 성장을 추구한다(Reaching for Sustainable Growth)"를 설정했습니다. 2030년을 목표로, ROE 8~10% 이상의 안정적인 달성 및 5,000억 엔 이상의 세전 이익 달성을 목표로 하고 있습니다.</w:t>
      </w:r>
    </w:p>
    <w:p w14:paraId="0E0322F7" w14:textId="77777777" w:rsidR="00070E6A" w:rsidRPr="00070E6A" w:rsidRDefault="00070E6A" w:rsidP="00070E6A">
      <w:pPr>
        <w:rPr>
          <w:szCs w:val="22"/>
        </w:rPr>
      </w:pPr>
      <w:r w:rsidRPr="00070E6A">
        <w:rPr>
          <w:szCs w:val="22"/>
        </w:rPr>
        <w:t>현재와 같은 불확실성이 큰 변화 속에서, 노무라가 고객에게 기여할 수 있으며, 금융의 미래에는 큰 가능성이 있다고 믿고 있습니다.</w:t>
      </w:r>
    </w:p>
    <w:p w14:paraId="0CC3E595" w14:textId="13715974" w:rsidR="00070E6A" w:rsidRPr="00070E6A" w:rsidRDefault="00070E6A" w:rsidP="00070E6A">
      <w:pPr>
        <w:rPr>
          <w:rFonts w:hint="eastAsia"/>
          <w:szCs w:val="22"/>
        </w:rPr>
      </w:pPr>
      <w:r w:rsidRPr="00070E6A">
        <w:rPr>
          <w:szCs w:val="22"/>
        </w:rPr>
        <w:t>앞으로도 지속 가능한 성장을 실현하기 위해 임직원 모두가 더욱더 노력해 나갈 것입니다.</w:t>
      </w:r>
    </w:p>
    <w:p w14:paraId="35123776" w14:textId="77777777" w:rsidR="00070E6A" w:rsidRDefault="00070E6A" w:rsidP="00DF0465">
      <w:pPr>
        <w:rPr>
          <w:rFonts w:hint="eastAsia"/>
          <w:szCs w:val="22"/>
        </w:rPr>
      </w:pPr>
    </w:p>
    <w:p w14:paraId="082D7E2A" w14:textId="22077E5E" w:rsidR="00DF0465" w:rsidRDefault="00DF0465" w:rsidP="00DF0465">
      <w:pPr>
        <w:rPr>
          <w:rFonts w:eastAsia="Yu Mincho"/>
          <w:szCs w:val="22"/>
          <w:lang w:eastAsia="ja-JP"/>
        </w:rPr>
      </w:pPr>
      <w:r>
        <w:rPr>
          <w:rFonts w:hint="eastAsia"/>
          <w:szCs w:val="22"/>
        </w:rPr>
        <w:t>5.평판</w:t>
      </w:r>
    </w:p>
    <w:p w14:paraId="075C8DED" w14:textId="5587590E" w:rsidR="00070E6A" w:rsidRDefault="00070E6A" w:rsidP="00DF0465">
      <w:pPr>
        <w:rPr>
          <w:rFonts w:eastAsia="Yu Mincho"/>
          <w:szCs w:val="22"/>
          <w:lang w:eastAsia="ja-JP"/>
        </w:rPr>
      </w:pPr>
      <w:r>
        <w:rPr>
          <w:noProof/>
        </w:rPr>
        <w:lastRenderedPageBreak/>
        <w:drawing>
          <wp:inline distT="0" distB="0" distL="0" distR="0" wp14:anchorId="447058B5" wp14:editId="67F5EE70">
            <wp:extent cx="5731510" cy="3223895"/>
            <wp:effectExtent l="0" t="0" r="2540" b="0"/>
            <wp:docPr id="552186846" name="그림 1" descr="텍스트, 소프트웨어, 컴퓨터 아이콘, 웹 페이지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186846" name="그림 1" descr="텍스트, 소프트웨어, 컴퓨터 아이콘, 웹 페이지이(가) 표시된 사진&#10;&#10;자동 생성된 설명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3C78DB" w14:textId="1609FEF1" w:rsidR="00070E6A" w:rsidRDefault="00070E6A" w:rsidP="00DF0465">
      <w:pPr>
        <w:rPr>
          <w:rFonts w:eastAsia="Yu Mincho"/>
          <w:szCs w:val="22"/>
          <w:lang w:eastAsia="ja-JP"/>
        </w:rPr>
      </w:pPr>
      <w:r>
        <w:rPr>
          <w:noProof/>
        </w:rPr>
        <w:drawing>
          <wp:inline distT="0" distB="0" distL="0" distR="0" wp14:anchorId="1886195A" wp14:editId="5ED279C9">
            <wp:extent cx="5731510" cy="3223895"/>
            <wp:effectExtent l="0" t="0" r="2540" b="0"/>
            <wp:docPr id="1144562820" name="그림 1" descr="텍스트, 스크린샷, 소프트웨어, 컴퓨터 아이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4562820" name="그림 1" descr="텍스트, 스크린샷, 소프트웨어, 컴퓨터 아이콘이(가) 표시된 사진&#10;&#10;자동 생성된 설명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366D73" w14:textId="3059C3C7" w:rsidR="00070E6A" w:rsidRDefault="00070E6A" w:rsidP="00DF0465">
      <w:pPr>
        <w:rPr>
          <w:rFonts w:eastAsia="Yu Mincho" w:hint="eastAsia"/>
          <w:szCs w:val="22"/>
          <w:lang w:eastAsia="ja-JP"/>
        </w:rPr>
      </w:pPr>
      <w:r>
        <w:rPr>
          <w:noProof/>
        </w:rPr>
        <w:lastRenderedPageBreak/>
        <w:drawing>
          <wp:inline distT="0" distB="0" distL="0" distR="0" wp14:anchorId="7EB87AE3" wp14:editId="7D08DE49">
            <wp:extent cx="5731510" cy="3223895"/>
            <wp:effectExtent l="0" t="0" r="2540" b="0"/>
            <wp:docPr id="65555658" name="그림 1" descr="텍스트, 스크린샷, 소프트웨어, 컴퓨터 아이콘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555658" name="그림 1" descr="텍스트, 스크린샷, 소프트웨어, 컴퓨터 아이콘이(가) 표시된 사진&#10;&#10;자동 생성된 설명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E09520" w14:textId="77777777" w:rsidR="00070E6A" w:rsidRPr="00070E6A" w:rsidRDefault="00070E6A" w:rsidP="00DF0465">
      <w:pPr>
        <w:rPr>
          <w:rFonts w:eastAsia="Yu Mincho" w:hint="eastAsia"/>
          <w:szCs w:val="22"/>
          <w:lang w:eastAsia="ja-JP"/>
        </w:rPr>
      </w:pPr>
    </w:p>
    <w:p w14:paraId="45BEA2C0" w14:textId="77777777" w:rsidR="00070E6A" w:rsidRPr="00070E6A" w:rsidRDefault="00070E6A" w:rsidP="00DF0465">
      <w:pPr>
        <w:rPr>
          <w:rFonts w:eastAsia="Yu Mincho" w:hint="eastAsia"/>
          <w:szCs w:val="22"/>
          <w:lang w:eastAsia="ja-JP"/>
        </w:rPr>
      </w:pPr>
    </w:p>
    <w:p w14:paraId="327ABDD2" w14:textId="5DFD59C2" w:rsidR="00DF0465" w:rsidRDefault="00DF0465" w:rsidP="00DF0465">
      <w:pPr>
        <w:rPr>
          <w:rFonts w:eastAsia="Yu Mincho"/>
          <w:szCs w:val="22"/>
          <w:lang w:eastAsia="ja-JP"/>
        </w:rPr>
      </w:pPr>
      <w:r>
        <w:rPr>
          <w:rFonts w:hint="eastAsia"/>
          <w:szCs w:val="22"/>
        </w:rPr>
        <w:t>6.신입공고</w:t>
      </w:r>
    </w:p>
    <w:p w14:paraId="59FB0D17" w14:textId="2FA3A2F5" w:rsidR="00070E6A" w:rsidRPr="00070E6A" w:rsidRDefault="004B0626" w:rsidP="00DF0465">
      <w:pPr>
        <w:rPr>
          <w:rFonts w:eastAsia="Yu Mincho" w:hint="eastAsia"/>
          <w:szCs w:val="22"/>
          <w:lang w:eastAsia="ja-JP"/>
        </w:rPr>
      </w:pPr>
      <w:r w:rsidRPr="004B0626">
        <w:rPr>
          <w:rFonts w:eastAsia="Yu Mincho"/>
          <w:szCs w:val="22"/>
          <w:lang w:eastAsia="ja-JP"/>
        </w:rPr>
        <w:t>https://www.nomura.co.jp/recruit/</w:t>
      </w:r>
    </w:p>
    <w:sectPr w:rsidR="00070E6A" w:rsidRPr="00070E6A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47F37CC"/>
    <w:multiLevelType w:val="hybridMultilevel"/>
    <w:tmpl w:val="31829122"/>
    <w:lvl w:ilvl="0" w:tplc="32E4B124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1" w15:restartNumberingAfterBreak="0">
    <w:nsid w:val="3DBA3FE2"/>
    <w:multiLevelType w:val="hybridMultilevel"/>
    <w:tmpl w:val="FA040CBE"/>
    <w:lvl w:ilvl="0" w:tplc="6E3EC27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abstractNum w:abstractNumId="2" w15:restartNumberingAfterBreak="0">
    <w:nsid w:val="4B1D5469"/>
    <w:multiLevelType w:val="hybridMultilevel"/>
    <w:tmpl w:val="7CECDE34"/>
    <w:lvl w:ilvl="0" w:tplc="31BA21D0">
      <w:start w:val="1"/>
      <w:numFmt w:val="decimal"/>
      <w:lvlText w:val="%1."/>
      <w:lvlJc w:val="left"/>
      <w:pPr>
        <w:ind w:left="8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20" w:hanging="440"/>
      </w:pPr>
    </w:lvl>
    <w:lvl w:ilvl="2" w:tplc="0409001B" w:tentative="1">
      <w:start w:val="1"/>
      <w:numFmt w:val="lowerRoman"/>
      <w:lvlText w:val="%3."/>
      <w:lvlJc w:val="right"/>
      <w:pPr>
        <w:ind w:left="1760" w:hanging="440"/>
      </w:pPr>
    </w:lvl>
    <w:lvl w:ilvl="3" w:tplc="0409000F" w:tentative="1">
      <w:start w:val="1"/>
      <w:numFmt w:val="decimal"/>
      <w:lvlText w:val="%4."/>
      <w:lvlJc w:val="left"/>
      <w:pPr>
        <w:ind w:left="2200" w:hanging="440"/>
      </w:pPr>
    </w:lvl>
    <w:lvl w:ilvl="4" w:tplc="04090019" w:tentative="1">
      <w:start w:val="1"/>
      <w:numFmt w:val="upperLetter"/>
      <w:lvlText w:val="%5."/>
      <w:lvlJc w:val="left"/>
      <w:pPr>
        <w:ind w:left="2640" w:hanging="440"/>
      </w:pPr>
    </w:lvl>
    <w:lvl w:ilvl="5" w:tplc="0409001B" w:tentative="1">
      <w:start w:val="1"/>
      <w:numFmt w:val="lowerRoman"/>
      <w:lvlText w:val="%6."/>
      <w:lvlJc w:val="right"/>
      <w:pPr>
        <w:ind w:left="3080" w:hanging="440"/>
      </w:pPr>
    </w:lvl>
    <w:lvl w:ilvl="6" w:tplc="0409000F" w:tentative="1">
      <w:start w:val="1"/>
      <w:numFmt w:val="decimal"/>
      <w:lvlText w:val="%7."/>
      <w:lvlJc w:val="left"/>
      <w:pPr>
        <w:ind w:left="3520" w:hanging="440"/>
      </w:pPr>
    </w:lvl>
    <w:lvl w:ilvl="7" w:tplc="04090019" w:tentative="1">
      <w:start w:val="1"/>
      <w:numFmt w:val="upperLetter"/>
      <w:lvlText w:val="%8."/>
      <w:lvlJc w:val="left"/>
      <w:pPr>
        <w:ind w:left="3960" w:hanging="440"/>
      </w:pPr>
    </w:lvl>
    <w:lvl w:ilvl="8" w:tplc="0409001B" w:tentative="1">
      <w:start w:val="1"/>
      <w:numFmt w:val="lowerRoman"/>
      <w:lvlText w:val="%9."/>
      <w:lvlJc w:val="right"/>
      <w:pPr>
        <w:ind w:left="4400" w:hanging="440"/>
      </w:pPr>
    </w:lvl>
  </w:abstractNum>
  <w:num w:numId="1" w16cid:durableId="1455565286">
    <w:abstractNumId w:val="0"/>
  </w:num>
  <w:num w:numId="2" w16cid:durableId="430510498">
    <w:abstractNumId w:val="1"/>
  </w:num>
  <w:num w:numId="3" w16cid:durableId="201460276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0465"/>
    <w:rsid w:val="00070E6A"/>
    <w:rsid w:val="002B0988"/>
    <w:rsid w:val="004A658C"/>
    <w:rsid w:val="004B0626"/>
    <w:rsid w:val="00DF04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C69FDE"/>
  <w15:chartTrackingRefBased/>
  <w15:docId w15:val="{2901A40D-AFF3-4E95-A1E4-270A83DFDF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ko-KR" w:bidi="ar-SA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paragraph" w:styleId="1">
    <w:name w:val="heading 1"/>
    <w:basedOn w:val="a"/>
    <w:next w:val="a"/>
    <w:link w:val="1Char"/>
    <w:uiPriority w:val="9"/>
    <w:qFormat/>
    <w:rsid w:val="00DF0465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DF046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DF046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DF046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DF0465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DF0465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DF0465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DF0465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DF0465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제목 1 Char"/>
    <w:basedOn w:val="a0"/>
    <w:link w:val="1"/>
    <w:uiPriority w:val="9"/>
    <w:rsid w:val="00DF0465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Char">
    <w:name w:val="제목 2 Char"/>
    <w:basedOn w:val="a0"/>
    <w:link w:val="2"/>
    <w:uiPriority w:val="9"/>
    <w:semiHidden/>
    <w:rsid w:val="00DF0465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Char">
    <w:name w:val="제목 3 Char"/>
    <w:basedOn w:val="a0"/>
    <w:link w:val="3"/>
    <w:uiPriority w:val="9"/>
    <w:semiHidden/>
    <w:rsid w:val="00DF0465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Char">
    <w:name w:val="제목 4 Char"/>
    <w:basedOn w:val="a0"/>
    <w:link w:val="4"/>
    <w:uiPriority w:val="9"/>
    <w:semiHidden/>
    <w:rsid w:val="00DF04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5Char">
    <w:name w:val="제목 5 Char"/>
    <w:basedOn w:val="a0"/>
    <w:link w:val="5"/>
    <w:uiPriority w:val="9"/>
    <w:semiHidden/>
    <w:rsid w:val="00DF04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6Char">
    <w:name w:val="제목 6 Char"/>
    <w:basedOn w:val="a0"/>
    <w:link w:val="6"/>
    <w:uiPriority w:val="9"/>
    <w:semiHidden/>
    <w:rsid w:val="00DF04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7Char">
    <w:name w:val="제목 7 Char"/>
    <w:basedOn w:val="a0"/>
    <w:link w:val="7"/>
    <w:uiPriority w:val="9"/>
    <w:semiHidden/>
    <w:rsid w:val="00DF04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8Char">
    <w:name w:val="제목 8 Char"/>
    <w:basedOn w:val="a0"/>
    <w:link w:val="8"/>
    <w:uiPriority w:val="9"/>
    <w:semiHidden/>
    <w:rsid w:val="00DF0465"/>
    <w:rPr>
      <w:rFonts w:asciiTheme="majorHAnsi" w:eastAsiaTheme="majorEastAsia" w:hAnsiTheme="majorHAnsi" w:cstheme="majorBidi"/>
      <w:color w:val="000000" w:themeColor="text1"/>
    </w:rPr>
  </w:style>
  <w:style w:type="character" w:customStyle="1" w:styleId="9Char">
    <w:name w:val="제목 9 Char"/>
    <w:basedOn w:val="a0"/>
    <w:link w:val="9"/>
    <w:uiPriority w:val="9"/>
    <w:semiHidden/>
    <w:rsid w:val="00DF0465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Char"/>
    <w:uiPriority w:val="10"/>
    <w:qFormat/>
    <w:rsid w:val="00DF0465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제목 Char"/>
    <w:basedOn w:val="a0"/>
    <w:link w:val="a3"/>
    <w:uiPriority w:val="10"/>
    <w:rsid w:val="00DF046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DF046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부제 Char"/>
    <w:basedOn w:val="a0"/>
    <w:link w:val="a4"/>
    <w:uiPriority w:val="11"/>
    <w:rsid w:val="00DF046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DF046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인용 Char"/>
    <w:basedOn w:val="a0"/>
    <w:link w:val="a5"/>
    <w:uiPriority w:val="29"/>
    <w:rsid w:val="00DF0465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DF0465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DF0465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DF046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강한 인용 Char"/>
    <w:basedOn w:val="a0"/>
    <w:link w:val="a8"/>
    <w:uiPriority w:val="30"/>
    <w:rsid w:val="00DF0465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DF0465"/>
    <w:rPr>
      <w:b/>
      <w:bCs/>
      <w:smallCaps/>
      <w:color w:val="0F4761" w:themeColor="accent1" w:themeShade="BF"/>
      <w:spacing w:val="5"/>
    </w:rPr>
  </w:style>
  <w:style w:type="character" w:styleId="aa">
    <w:name w:val="Hyperlink"/>
    <w:basedOn w:val="a0"/>
    <w:uiPriority w:val="99"/>
    <w:unhideWhenUsed/>
    <w:rsid w:val="002B0988"/>
    <w:rPr>
      <w:color w:val="467886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2B098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919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98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4049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348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9237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779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368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22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547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933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19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6592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7219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0783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232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9486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71216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914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s://www.nomuraholdings.com/jp/investor/summary/financial/data/2024_full_usgaap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맑은 고딕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4</Pages>
  <Words>303</Words>
  <Characters>1730</Characters>
  <Application>Microsoft Office Word</Application>
  <DocSecurity>0</DocSecurity>
  <Lines>14</Lines>
  <Paragraphs>4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Sonjungi</dc:creator>
  <cp:keywords/>
  <dc:description/>
  <cp:lastModifiedBy>Sonjungi</cp:lastModifiedBy>
  <cp:revision>1</cp:revision>
  <dcterms:created xsi:type="dcterms:W3CDTF">2024-08-09T12:37:00Z</dcterms:created>
  <dcterms:modified xsi:type="dcterms:W3CDTF">2024-08-09T13:13:00Z</dcterms:modified>
</cp:coreProperties>
</file>