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sz w:val="28"/>
          <w:szCs w:val="28"/>
          <w:rtl w:val="0"/>
        </w:rPr>
        <w:t xml:space="preserve">닛산 자동차</w:t>
      </w:r>
    </w:p>
    <w:p w:rsidR="00000000" w:rsidDel="00000000" w:rsidP="00000000" w:rsidRDefault="00000000" w:rsidRPr="00000000" w14:paraId="00000002">
      <w:pPr>
        <w:jc w:val="left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Summary</w:t>
      </w:r>
      <w:r w:rsidDel="00000000" w:rsidR="00000000" w:rsidRPr="00000000">
        <w:rPr>
          <w:sz w:val="24"/>
          <w:szCs w:val="24"/>
          <w:rtl w:val="0"/>
        </w:rPr>
        <w:t xml:space="preserve"> : </w:t>
      </w:r>
    </w:p>
    <w:p w:rsidR="00000000" w:rsidDel="00000000" w:rsidP="00000000" w:rsidRDefault="00000000" w:rsidRPr="00000000" w14:paraId="00000003">
      <w:pPr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60" w:line="233.4550909090909" w:lineRule="auto"/>
        <w:ind w:left="15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</w:t>
        <w:tab/>
      </w: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사업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내용</w:t>
      </w:r>
      <w:r w:rsidDel="00000000" w:rsidR="00000000" w:rsidRPr="00000000">
        <w:rPr>
          <w:rFonts w:ascii="Gungsuh" w:cs="Gungsuh" w:eastAsia="Gungsuh" w:hAnsi="Gungsuh"/>
          <w:sz w:val="24"/>
          <w:szCs w:val="24"/>
          <w:rtl w:val="0"/>
        </w:rPr>
        <w:t xml:space="preserve"> : 다양한 차량 제조, 르노-닛산-미쓰비시 얼라이언스의 일원으로 다양한 협력 사업 진행 </w:t>
      </w:r>
    </w:p>
    <w:p w:rsidR="00000000" w:rsidDel="00000000" w:rsidP="00000000" w:rsidRDefault="00000000" w:rsidRPr="00000000" w14:paraId="00000005">
      <w:pPr>
        <w:spacing w:after="160" w:line="233.4550909090909" w:lineRule="auto"/>
        <w:ind w:left="15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</w:t>
        <w:tab/>
      </w: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창업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: 1933.12.26</w:t>
      </w:r>
    </w:p>
    <w:p w:rsidR="00000000" w:rsidDel="00000000" w:rsidP="00000000" w:rsidRDefault="00000000" w:rsidRPr="00000000" w14:paraId="00000006">
      <w:pPr>
        <w:spacing w:after="160" w:line="233.4550909090909" w:lineRule="auto"/>
        <w:ind w:left="15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</w:t>
        <w:tab/>
      </w: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설립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: 1933.12.26</w:t>
      </w:r>
    </w:p>
    <w:p w:rsidR="00000000" w:rsidDel="00000000" w:rsidP="00000000" w:rsidRDefault="00000000" w:rsidRPr="00000000" w14:paraId="00000007">
      <w:pPr>
        <w:spacing w:after="160" w:line="233.4550909090909" w:lineRule="auto"/>
        <w:ind w:left="15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</w:t>
        <w:tab/>
      </w: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자본금</w:t>
      </w:r>
      <w:r w:rsidDel="00000000" w:rsidR="00000000" w:rsidRPr="00000000">
        <w:rPr>
          <w:rFonts w:ascii="Gungsuh" w:cs="Gungsuh" w:eastAsia="Gungsuh" w:hAnsi="Gungsuh"/>
          <w:sz w:val="24"/>
          <w:szCs w:val="24"/>
          <w:rtl w:val="0"/>
        </w:rPr>
        <w:t xml:space="preserve">(2018) : 6,058억 1,373만엔</w:t>
      </w:r>
    </w:p>
    <w:p w:rsidR="00000000" w:rsidDel="00000000" w:rsidP="00000000" w:rsidRDefault="00000000" w:rsidRPr="00000000" w14:paraId="00000008">
      <w:pPr>
        <w:spacing w:after="160" w:line="233.4550909090909" w:lineRule="auto"/>
        <w:ind w:left="15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</w:t>
        <w:tab/>
      </w: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종업원</w:t>
      </w:r>
      <w:r w:rsidDel="00000000" w:rsidR="00000000" w:rsidRPr="00000000">
        <w:rPr>
          <w:rFonts w:ascii="Gungsuh" w:cs="Gungsuh" w:eastAsia="Gungsuh" w:hAnsi="Gungsuh"/>
          <w:sz w:val="24"/>
          <w:szCs w:val="24"/>
          <w:rtl w:val="0"/>
        </w:rPr>
        <w:t xml:space="preserve">(2018) : 138,910명</w:t>
      </w:r>
    </w:p>
    <w:p w:rsidR="00000000" w:rsidDel="00000000" w:rsidP="00000000" w:rsidRDefault="00000000" w:rsidRPr="00000000" w14:paraId="00000009">
      <w:pPr>
        <w:spacing w:after="160" w:line="233.4550909090909" w:lineRule="auto"/>
        <w:ind w:left="15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</w:t>
        <w:tab/>
      </w: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매출수익</w:t>
      </w:r>
      <w:r w:rsidDel="00000000" w:rsidR="00000000" w:rsidRPr="00000000">
        <w:rPr>
          <w:rFonts w:ascii="Gungsuh" w:cs="Gungsuh" w:eastAsia="Gungsuh" w:hAnsi="Gungsuh"/>
          <w:sz w:val="24"/>
          <w:szCs w:val="24"/>
          <w:rtl w:val="0"/>
        </w:rPr>
        <w:t xml:space="preserve">(2023) : 11조 9,511억 6,900만엔</w:t>
      </w:r>
    </w:p>
    <w:p w:rsidR="00000000" w:rsidDel="00000000" w:rsidP="00000000" w:rsidRDefault="00000000" w:rsidRPr="00000000" w14:paraId="0000000A">
      <w:pPr>
        <w:spacing w:after="160" w:line="233.4550909090909" w:lineRule="auto"/>
        <w:ind w:left="15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</w:t>
        <w:tab/>
      </w: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사업소</w:t>
      </w:r>
      <w:r w:rsidDel="00000000" w:rsidR="00000000" w:rsidRPr="00000000">
        <w:rPr>
          <w:rFonts w:ascii="Gungsuh" w:cs="Gungsuh" w:eastAsia="Gungsuh" w:hAnsi="Gungsuh"/>
          <w:sz w:val="24"/>
          <w:szCs w:val="24"/>
          <w:rtl w:val="0"/>
        </w:rPr>
        <w:t xml:space="preserve"> : 일본 가나가와현 요코하마시(본사)</w:t>
      </w:r>
    </w:p>
    <w:p w:rsidR="00000000" w:rsidDel="00000000" w:rsidP="00000000" w:rsidRDefault="00000000" w:rsidRPr="00000000" w14:paraId="0000000B">
      <w:pPr>
        <w:spacing w:after="160" w:line="233.4550909090909" w:lineRule="auto"/>
        <w:ind w:left="15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</w:t>
        <w:tab/>
      </w: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업계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쉐어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국내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 : 4</w:t>
      </w: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위</w:t>
      </w:r>
    </w:p>
    <w:p w:rsidR="00000000" w:rsidDel="00000000" w:rsidP="00000000" w:rsidRDefault="00000000" w:rsidRPr="00000000" w14:paraId="0000000C">
      <w:pPr>
        <w:spacing w:after="160" w:line="233.4550909090909" w:lineRule="auto"/>
        <w:ind w:left="0" w:firstLine="0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닛산 자동차는 일본의 대표적인 자동차 제조업체로, 다양한 승용차, 상용차, 전기차 등을 생산하고 있다. 닛산은 르노와 미쓰비시와 함께 얼라이언스를 형성하여 글로벌 시장에서 경쟁력을 강화하고 있다. 승용차(알티마, 맥시마, 센트라), 전기차(리프-세계적으로 유명한 전기차 모델), 상용차(픽업 트럭, 밴) 그리고 고성능 차량(GT-R)등 여러 종류의 자동차를 팔고있다. </w:t>
      </w:r>
    </w:p>
    <w:p w:rsidR="00000000" w:rsidDel="00000000" w:rsidP="00000000" w:rsidRDefault="00000000" w:rsidRPr="00000000" w14:paraId="0000000D">
      <w:pPr>
        <w:spacing w:after="160" w:line="233.4550909090909" w:lineRule="auto"/>
        <w:ind w:left="1520" w:hanging="36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left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sz w:val="24"/>
          <w:szCs w:val="24"/>
          <w:rtl w:val="0"/>
        </w:rPr>
        <w:t xml:space="preserve">연간 결산보고서</w:t>
      </w:r>
      <w:r w:rsidDel="00000000" w:rsidR="00000000" w:rsidRPr="00000000">
        <w:rPr>
          <w:sz w:val="24"/>
          <w:szCs w:val="24"/>
          <w:rtl w:val="0"/>
        </w:rPr>
        <w:t xml:space="preserve"> 2022, 2023 https://www.nissan-global.com/JP/IR/FINANCIAL_RESULTS/</w:t>
      </w:r>
    </w:p>
    <w:p w:rsidR="00000000" w:rsidDel="00000000" w:rsidP="00000000" w:rsidRDefault="00000000" w:rsidRPr="00000000" w14:paraId="0000000F">
      <w:pPr>
        <w:jc w:val="left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23년 3월기 매출 기준 전년 대비 매출액은 25.8% 상승했다. 총 자산 또한 7.5%상승. 영업 활동으로 인한 현금 흐름 또한 전년대비 증가 추세. 이는 글로벌 시장에서의 판매 증가와 신차 출시가 주요 요인으로 작용함. 영업 이익은 대략 15%이상 증가함. 총 자산이 17조 5,986억 엔으로 증가한 반면 부채 또한 8조 2,345억엔으로 증가함. 이는 자산과 부채의 균형을 유지하며 성장하고 있음을 보여줌. 배당금 또한 주당 10엔으로 증가함. </w:t>
      </w:r>
    </w:p>
    <w:p w:rsidR="00000000" w:rsidDel="00000000" w:rsidP="00000000" w:rsidRDefault="00000000" w:rsidRPr="00000000" w14:paraId="00000010">
      <w:pPr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left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sz w:val="24"/>
          <w:szCs w:val="24"/>
          <w:rtl w:val="0"/>
        </w:rPr>
        <w:t xml:space="preserve">중장기 사업 계획서</w:t>
      </w:r>
      <w:r w:rsidDel="00000000" w:rsidR="00000000" w:rsidRPr="00000000">
        <w:rPr>
          <w:sz w:val="24"/>
          <w:szCs w:val="24"/>
          <w:rtl w:val="0"/>
        </w:rPr>
        <w:t xml:space="preserve"> https://www.nissan-global.com/JP/COMPANY/PLAN/ARC/</w:t>
      </w:r>
    </w:p>
    <w:p w:rsidR="00000000" w:rsidDel="00000000" w:rsidP="00000000" w:rsidRDefault="00000000" w:rsidRPr="00000000" w14:paraId="00000016">
      <w:pPr>
        <w:jc w:val="left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닛산의 중장기 사업 계획은 “Nissan Ambition 2030”과 “The Arc”라는 두가지 주요 계획으로 구성되어 있음.</w:t>
      </w:r>
    </w:p>
    <w:p w:rsidR="00000000" w:rsidDel="00000000" w:rsidP="00000000" w:rsidRDefault="00000000" w:rsidRPr="00000000" w14:paraId="00000017">
      <w:pPr>
        <w:jc w:val="left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Nissan Ambition 2030 </w:t>
      </w:r>
    </w:p>
    <w:p w:rsidR="00000000" w:rsidDel="00000000" w:rsidP="00000000" w:rsidRDefault="00000000" w:rsidRPr="00000000" w14:paraId="00000018">
      <w:pPr>
        <w:jc w:val="left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Nissan Ambition 2030은 닛산의 장기 비전으로, 지속 가능한 모빌리티와 혁신을 통해 더 나은 미래를 만들기 위한 목표를 설정하고 있다. 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ind w:left="720" w:hanging="360"/>
        <w:jc w:val="left"/>
        <w:rPr>
          <w:sz w:val="24"/>
          <w:szCs w:val="24"/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전동화 전략: 2030년까지 23개의 새로운 전동화 모델을 출시하고, 그 중 15개는 순수 전기차(EV)로 구성할 계획.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ind w:left="720" w:hanging="360"/>
        <w:jc w:val="left"/>
        <w:rPr>
          <w:sz w:val="24"/>
          <w:szCs w:val="24"/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배터리 기술 혁신: 고성능 배터리 개발을 통해 전기차의 주행 거리와 충전 시간을 개선하고, 배터리 재활용 시스템을 구축할 예정.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ind w:left="720" w:hanging="360"/>
        <w:jc w:val="left"/>
        <w:rPr>
          <w:sz w:val="24"/>
          <w:szCs w:val="24"/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자율 주행 기술: 자율 주행 기술을 발전시켜 안전하고 편리한 이동 수단을 제공할 계획.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ind w:left="720" w:hanging="360"/>
        <w:jc w:val="left"/>
        <w:rPr>
          <w:sz w:val="24"/>
          <w:szCs w:val="24"/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지속 가능한 생산: 탄소 중립을 목표로 하여 생산 공정에서의 탄소 배출을 줄이고, 재생 에너지를 활용한 생산 시스템을 구축할 예정.</w:t>
      </w:r>
    </w:p>
    <w:p w:rsidR="00000000" w:rsidDel="00000000" w:rsidP="00000000" w:rsidRDefault="00000000" w:rsidRPr="00000000" w14:paraId="0000001D">
      <w:pPr>
        <w:ind w:lef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0" w:firstLine="0"/>
        <w:jc w:val="left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The Arc</w:t>
      </w:r>
    </w:p>
    <w:p w:rsidR="00000000" w:rsidDel="00000000" w:rsidP="00000000" w:rsidRDefault="00000000" w:rsidRPr="00000000" w14:paraId="0000001F">
      <w:pPr>
        <w:ind w:left="0" w:firstLine="0"/>
        <w:jc w:val="left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The Arc는 닛산의 중기 사업 계획으로, 2024년부터 2026년까지의 목표와 전략을 포함하고 있다. 이 계획은 Nissan NEXT 변혁 계획과 Nissan Ambition 2030을 연결하는 다리 역할을 한다.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ind w:left="720" w:hanging="360"/>
        <w:jc w:val="left"/>
        <w:rPr>
          <w:sz w:val="24"/>
          <w:szCs w:val="24"/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지역별 맞춤 전략: 주요 시장에서의 판매량 증가를 목표로 지역별 맞춤 전략을 수립한다.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ind w:left="720" w:hanging="360"/>
        <w:jc w:val="left"/>
        <w:rPr>
          <w:sz w:val="24"/>
          <w:szCs w:val="24"/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전동화 전환 준비: 전기차(EV)와 내연기관 차량의 균형 잡힌 제품 포트폴리오를 통해 전동화 전환을 준비한다.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ind w:left="720" w:hanging="360"/>
        <w:jc w:val="left"/>
        <w:rPr>
          <w:sz w:val="24"/>
          <w:szCs w:val="24"/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스마트 파트너십: 다양한 파트너십을 통해 혁신적인 기술과 새로운 수익원을 창출한다.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ind w:left="720" w:hanging="360"/>
        <w:jc w:val="left"/>
        <w:rPr>
          <w:sz w:val="24"/>
          <w:szCs w:val="24"/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운영 이익률 개선: 2026년까지 연간 판매량을 100만 대 증가시키고, 운영 이익률을 6% 이상으로 높이는 것을 목표로 한다.</w:t>
      </w:r>
    </w:p>
    <w:p w:rsidR="00000000" w:rsidDel="00000000" w:rsidP="00000000" w:rsidRDefault="00000000" w:rsidRPr="00000000" w14:paraId="00000024">
      <w:pPr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left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sz w:val="24"/>
          <w:szCs w:val="24"/>
          <w:rtl w:val="0"/>
        </w:rPr>
        <w:t xml:space="preserve">비전 및 이념</w:t>
      </w:r>
      <w:r w:rsidDel="00000000" w:rsidR="00000000" w:rsidRPr="00000000">
        <w:rPr>
          <w:sz w:val="24"/>
          <w:szCs w:val="24"/>
          <w:rtl w:val="0"/>
        </w:rPr>
        <w:t xml:space="preserve"> https://www.nissan-global.com/JP/COMPANY/MESSAGE/</w:t>
      </w:r>
    </w:p>
    <w:p w:rsidR="00000000" w:rsidDel="00000000" w:rsidP="00000000" w:rsidRDefault="00000000" w:rsidRPr="00000000" w14:paraId="00000027">
      <w:pPr>
        <w:jc w:val="left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닛산의 비전과 이념은 “Driving innovation to enrich people’s lives” 라는 슬로건 아래, 혁신을 통해 사람들의 삶을 풍요롭게 하는 것을 목표로 하고 있다. 닛산의 비전은 지속 가능한 모빌리티와 혁신을 통해 더 나은 미래를 만드는 것이다.  닛산의 이념은 다음과 같은 핵심 가치에 기반을 두고 있다: </w:t>
      </w:r>
    </w:p>
    <w:p w:rsidR="00000000" w:rsidDel="00000000" w:rsidP="00000000" w:rsidRDefault="00000000" w:rsidRPr="00000000" w14:paraId="00000028">
      <w:pPr>
        <w:jc w:val="left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sz w:val="24"/>
          <w:szCs w:val="24"/>
          <w:rtl w:val="0"/>
        </w:rPr>
        <w:t xml:space="preserve">혁신</w:t>
      </w: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: 닛산은 항상 새로운 기술과 제품을 개발하여 고객에게 더 나은 가치를 제공하고자 한다. </w:t>
      </w:r>
      <w:r w:rsidDel="00000000" w:rsidR="00000000" w:rsidRPr="00000000">
        <w:rPr>
          <w:rFonts w:ascii="Arial Unicode MS" w:cs="Arial Unicode MS" w:eastAsia="Arial Unicode MS" w:hAnsi="Arial Unicode MS"/>
          <w:b w:val="1"/>
          <w:sz w:val="24"/>
          <w:szCs w:val="24"/>
          <w:rtl w:val="0"/>
        </w:rPr>
        <w:t xml:space="preserve">지속 가능성</w:t>
      </w: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: 환경 보호와 지속 가능한 성장을 위해 노력한다. </w:t>
      </w:r>
    </w:p>
    <w:p w:rsidR="00000000" w:rsidDel="00000000" w:rsidP="00000000" w:rsidRDefault="00000000" w:rsidRPr="00000000" w14:paraId="00000029">
      <w:pPr>
        <w:jc w:val="left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sz w:val="24"/>
          <w:szCs w:val="24"/>
          <w:rtl w:val="0"/>
        </w:rPr>
        <w:t xml:space="preserve">포용성</w:t>
      </w: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: 모든 사람에게 접근 가능한 모빌리티 솔루션을 제공하여 더 포용적인 사회를 만든다. 이러한 비전과 이념을 바탕으로 닛산은 글로벌 시장에서의 경쟁력을 강화하고, 지속 가능한 성장을 추구하고 있다.</w:t>
      </w:r>
    </w:p>
    <w:p w:rsidR="00000000" w:rsidDel="00000000" w:rsidP="00000000" w:rsidRDefault="00000000" w:rsidRPr="00000000" w14:paraId="0000002A">
      <w:pPr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jc w:val="left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평판</w:t>
      </w:r>
    </w:p>
    <w:p w:rsidR="00000000" w:rsidDel="00000000" w:rsidP="00000000" w:rsidRDefault="00000000" w:rsidRPr="00000000" w14:paraId="0000002C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5372789" cy="3328988"/>
            <wp:effectExtent b="0" l="0" r="0" t="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372789" cy="33289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5233015" cy="3616170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33015" cy="361617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jc w:val="left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신입공고 내용 </w:t>
      </w:r>
    </w:p>
    <w:p w:rsidR="00000000" w:rsidDel="00000000" w:rsidP="00000000" w:rsidRDefault="00000000" w:rsidRPr="00000000" w14:paraId="00000031">
      <w:pPr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https://www.nissanmotor.jobs/japan/NE/recruit/requirements.html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Times New Roman"/>
  <w:font w:name="Gungsuh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ko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