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theme/theme1.xml" ContentType="application/vnd.openxmlformats-officedocument.theme+xml"/>
  <Override PartName="/word/numbering.xml" ContentType="application/vnd.openxmlformats-officedocument.wordprocessingml.numbering+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body>
    <w:p>
      <w:r>
        <w:rPr>
          <w:rFonts w:hint="eastAsia"/>
        </w:rPr>
        <w:t>3순위 히타치제작소</w:t>
      </w:r>
    </w:p>
    <w:p>
      <w:r>
        <w:rPr>
          <w:rFonts w:hint="eastAsia"/>
          <w:b/>
          <w:bCs/>
        </w:rPr>
        <w:t>1.기업 SUMMURY(어떤 비즈니스를 하는지, 업계 쉐어는 어느 정도인지, 매출은 어느정도인지)</w:t>
      </w:r>
    </w:p>
    <w:p>
      <w:r>
        <w:fldChar w:fldCharType="begin"/>
      </w:r>
      <w:r>
        <w:instrText xml:space="preserve"> HYPERLINK "https://www.hitachi.co.jp/recruit/newgraduate/company/businessfield.html" </w:instrText>
      </w:r>
      <w:r>
        <w:fldChar w:fldCharType="separate"/>
      </w:r>
      <w:r>
        <w:rPr>
          <w:rStyle w:val="aa"/>
        </w:rPr>
        <w:t>비즈니스 도메인:기업 정보:Hitachi</w:t>
      </w:r>
      <w:r>
        <w:fldChar w:fldCharType="end"/>
      </w:r>
    </w:p>
    <w:p>
      <w:r>
        <w:drawing>
          <wp:inline distT="0" distB="0" distL="0" distR="0">
            <wp:extent cx="5731510" cy="6243320"/>
            <wp:effectExtent l="0" t="0" r="0" b="0"/>
            <wp:docPr id="1025" name="shape1025"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noChangeAspect="1"/>
                    </pic:cNvPicPr>
                  </pic:nvPicPr>
                  <pic:blipFill>
                    <a:blip r:embed="rId1">
                      <a:extLst>
                        <a:ext uri="{28A0092B-C50C-407E-A947-70E740481C1C}">
                          <a14:useLocalDpi xmlns:a14="http://schemas.microsoft.com/office/drawing/2010/main" val="0"/>
                        </a:ext>
                      </a:extLst>
                    </a:blip>
                    <a:srcRect/>
                    <a:stretch>
                      <a:fillRect/>
                    </a:stretch>
                  </pic:blipFill>
                  <pic:spPr>
                    <a:xfrm>
                      <a:off x="0" y="0"/>
                      <a:ext cx="5731510" cy="6243320"/>
                    </a:xfrm>
                    <a:prstGeom prst="rect"/>
                  </pic:spPr>
                </pic:pic>
              </a:graphicData>
            </a:graphic>
          </wp:inline>
        </w:drawing>
      </w:r>
    </w:p>
    <w:p>
      <w:pPr>
        <w:rPr>
          <w:rFonts w:hint="eastAsia"/>
        </w:rPr>
      </w:pPr>
      <w:r>
        <w:rPr>
          <w:rFonts w:hint="eastAsia"/>
        </w:rPr>
        <w:t>금융사업에서는 금융 보험 및 증권 산업을 위한 높은 견고성과 안전성을 갖춘 시스템을 구축 및 운영하는 것 외에도 고객의 관리 문제 해결에 기여하는 금융 솔루션을 개발, 제공한다.</w:t>
      </w:r>
    </w:p>
    <w:p>
      <w:r>
        <w:rPr>
          <w:rFonts w:hint="eastAsia"/>
        </w:rPr>
        <w:t xml:space="preserve">소셜 비즈니스에서는 관공서, 지방자치단체, 전력, 교통, 통신, 국방 분야의 인프라 구축 </w:t>
      </w:r>
      <w:r>
        <w:rPr>
          <w:rFonts w:hint="eastAsia"/>
        </w:rPr>
        <w:t>및 운영을 통해 축적된 노하우를 최신 기술과 결합하여 안전하고 보안이 유지되는 시스템과 서비스를 개발하고 제공한다.</w:t>
      </w:r>
    </w:p>
    <w:p>
      <w:pPr>
        <w:pStyle w:val="a6"/>
        <w:numPr>
          <w:ilvl w:val="0"/>
          <w:numId w:val="1"/>
        </w:numPr>
      </w:pPr>
      <w:r>
        <w:rPr>
          <w:rFonts w:hint="eastAsia"/>
        </w:rPr>
        <w:t>IT 서비스</w:t>
      </w:r>
    </w:p>
    <w:p>
      <w:pPr>
        <w:pStyle w:val="a6"/>
        <w:numPr>
          <w:ilvl w:val="1"/>
          <w:numId w:val="1"/>
        </w:numPr>
      </w:pPr>
      <w:r>
        <w:rPr>
          <w:rFonts w:hint="eastAsia"/>
        </w:rPr>
        <w:t xml:space="preserve">히타치 시스템 </w:t>
      </w:r>
    </w:p>
    <w:p>
      <w:pPr>
        <w:pStyle w:val="a6"/>
        <w:numPr>
          <w:ilvl w:val="2"/>
          <w:numId w:val="1"/>
        </w:numPr>
      </w:pPr>
      <w:r>
        <w:rPr>
          <w:rFonts w:hint="eastAsia"/>
        </w:rPr>
        <w:t>데이터 센터, 네트워크 및 보안 운영 및 모니터링 센터, 컨택 센터, 전국 약 300여개의 서비스 거점 등 다양한 서비스 인프라를 활용한 시스템 운영, 모니터링, 유지보수는 물론, 다양한 규모와 업종을 아우르는 비즈니스 시스템 구축에 강점을 가지고 IT 라이프 사이클 전반을 아우르는 원스톱 서비스를 제공.</w:t>
      </w:r>
    </w:p>
    <w:p>
      <w:pPr>
        <w:pStyle w:val="a6"/>
        <w:numPr>
          <w:ilvl w:val="1"/>
          <w:numId w:val="1"/>
        </w:numPr>
      </w:pPr>
      <w:r>
        <w:rPr>
          <w:rFonts w:hint="eastAsia"/>
        </w:rPr>
        <w:t>히타치 솔루션</w:t>
      </w:r>
    </w:p>
    <w:p>
      <w:pPr>
        <w:pStyle w:val="a6"/>
        <w:numPr>
          <w:ilvl w:val="2"/>
          <w:numId w:val="1"/>
        </w:numPr>
      </w:pPr>
      <w:r>
        <w:rPr>
          <w:rFonts w:hint="eastAsia"/>
        </w:rPr>
        <w:t>제조, 유통, 통신 산업을 중심으로 고객 및 사회 과제의 해결을 지원하는 디지털 솔루션을 제공하는 것은 물론, 기존 제품을 서비스화하여 고부가가치를 창출하는 SX(Sustainability Transfromation)을 추구하고 있음.</w:t>
      </w:r>
    </w:p>
    <w:p>
      <w:pPr>
        <w:pStyle w:val="a6"/>
        <w:numPr>
          <w:ilvl w:val="0"/>
          <w:numId w:val="1"/>
        </w:numPr>
      </w:pPr>
      <w:r>
        <w:rPr>
          <w:rFonts w:hint="eastAsia"/>
        </w:rPr>
        <w:t>DX</w:t>
      </w:r>
    </w:p>
    <w:p>
      <w:pPr>
        <w:pStyle w:val="a6"/>
        <w:numPr>
          <w:ilvl w:val="1"/>
          <w:numId w:val="1"/>
        </w:numPr>
      </w:pPr>
      <w:r>
        <w:rPr>
          <w:rFonts w:hint="eastAsia"/>
        </w:rPr>
        <w:t>서비스 플랫폼 사업</w:t>
      </w:r>
    </w:p>
    <w:p>
      <w:pPr>
        <w:pStyle w:val="a6"/>
        <w:numPr>
          <w:ilvl w:val="2"/>
          <w:numId w:val="1"/>
        </w:numPr>
        <w:rPr>
          <w:lang/>
          <w:rFonts/>
          <w:rtl w:val="off"/>
        </w:rPr>
      </w:pPr>
      <w:r>
        <w:rPr>
          <w:rFonts w:hint="eastAsia"/>
        </w:rPr>
        <w:t>데이터를 핵심으로 지속적인 가치 창출을 실현하는 공통의 플랫폼과 서비스를 제공한다는 사명을 가지고 강화되어 사회의 디지털 인프라를 지원하는 IT 플랫폼과 서비스를 통해 국내외 고객의 과제 해결에 기여하고 있다.</w:t>
      </w:r>
    </w:p>
    <w:p>
      <w:pPr>
        <w:rPr>
          <w:lang/>
          <w:rFonts/>
          <w:rtl w:val="off"/>
        </w:rPr>
      </w:pPr>
      <w:r>
        <w:rPr>
          <w:rFonts w:hint="eastAsia"/>
        </w:rPr>
        <w:drawing>
          <wp:inline distT="0" distB="0" distL="0" distR="0">
            <wp:extent cx="5731510" cy="1363345"/>
            <wp:effectExtent l="0" t="0" r="0" b="0"/>
            <wp:docPr id="1026" name="shape1026"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noChangeAspect="1"/>
                    </pic:cNvPicPr>
                  </pic:nvPicPr>
                  <pic:blipFill>
                    <a:blip r:embed="rId2">
                      <a:extLst>
                        <a:ext uri="{28A0092B-C50C-407E-A947-70E740481C1C}">
                          <a14:useLocalDpi xmlns:a14="http://schemas.microsoft.com/office/drawing/2010/main" val="0"/>
                        </a:ext>
                      </a:extLst>
                    </a:blip>
                    <a:srcRect/>
                    <a:stretch>
                      <a:fillRect/>
                    </a:stretch>
                  </pic:blipFill>
                  <pic:spPr>
                    <a:xfrm>
                      <a:off x="0" y="0"/>
                      <a:ext cx="5731510" cy="1363345"/>
                    </a:xfrm>
                    <a:prstGeom prst="rect"/>
                  </pic:spPr>
                </pic:pic>
              </a:graphicData>
            </a:graphic>
          </wp:inline>
        </w:drawing>
      </w:r>
    </w:p>
    <w:p>
      <w:pPr>
        <w:rPr>
          <w:lang w:eastAsia="ko-KR"/>
          <w:rFonts w:hint="eastAsia"/>
          <w:rtl w:val="off"/>
        </w:rPr>
      </w:pPr>
      <w:r>
        <w:rPr>
          <w:lang w:eastAsia="ko-KR"/>
          <w:rFonts w:hint="eastAsia"/>
          <w:rtl w:val="off"/>
        </w:rPr>
        <w:t>Revenue : 연간 매출 총 수익</w:t>
      </w:r>
    </w:p>
    <w:p>
      <w:pPr>
        <w:rPr>
          <w:lang w:eastAsia="ko-KR"/>
          <w:rFonts w:hint="eastAsia"/>
          <w:rtl w:val="off"/>
        </w:rPr>
      </w:pPr>
      <w:r>
        <w:rPr>
          <w:lang w:eastAsia="ko-KR"/>
          <w:rFonts w:hint="eastAsia"/>
          <w:rtl w:val="off"/>
        </w:rPr>
        <w:t>EBITA : 세금, 이자, 감가상각비를 제외한 영업활동의 순 이익</w:t>
      </w:r>
    </w:p>
    <w:p>
      <w:pPr>
        <w:rPr>
          <w:lang w:eastAsia="ko-KR"/>
          <w:rFonts w:hint="eastAsia"/>
          <w:rtl w:val="off"/>
        </w:rPr>
      </w:pPr>
      <w:r>
        <w:rPr>
          <w:lang w:eastAsia="ko-KR"/>
          <w:rFonts w:hint="eastAsia"/>
          <w:rtl w:val="off"/>
        </w:rPr>
        <w:t>ROIC : 투자된 자본 대비 수익을 백분률로 나타낸 값. 회사의 투자 효율성을 나타냄</w:t>
      </w:r>
    </w:p>
    <w:p>
      <w:pPr>
        <w:rPr>
          <w:lang w:eastAsia="ko-KR"/>
          <w:rFonts w:hint="eastAsia"/>
          <w:rtl w:val="off"/>
        </w:rPr>
      </w:pPr>
      <w:r>
        <w:rPr>
          <w:lang w:eastAsia="ko-KR"/>
          <w:rFonts w:hint="eastAsia"/>
          <w:rtl w:val="off"/>
        </w:rPr>
        <w:t>Core Free Cash Flow : 영업활동에서 발생한 현금 흐름에서 투자 비용을 제외한 순수 잉여 현금 흐름, 단위는 억엔</w:t>
      </w:r>
    </w:p>
    <w:p>
      <w:pPr>
        <w:rPr>
          <w:lang w:eastAsia="ko-KR"/>
          <w:rFonts w:hint="eastAsia"/>
          <w:rtl w:val="off"/>
        </w:rPr>
      </w:pPr>
      <w:r>
        <w:rPr>
          <w:lang w:eastAsia="ko-KR"/>
          <w:rFonts w:hint="eastAsia"/>
          <w:rtl w:val="off"/>
        </w:rPr>
        <w:t>Revenue Change : 전년도 대비 매출 수익의 증가 또는 감소율을 백분율로 나타낸 값</w:t>
      </w:r>
    </w:p>
    <w:p>
      <w:pPr>
        <w:rPr>
          <w:lang w:eastAsia="ko-KR"/>
          <w:rFonts w:hint="eastAsia"/>
          <w:rtl w:val="off"/>
        </w:rPr>
      </w:pPr>
    </w:p>
    <w:p>
      <w:pPr>
        <w:rPr>
          <w:lang w:eastAsia="ko-KR"/>
          <w:rFonts w:hint="eastAsia"/>
          <w:rtl w:val="off"/>
        </w:rPr>
      </w:pPr>
      <w:r>
        <w:rPr>
          <w:lang w:eastAsia="ko-KR"/>
          <w:rFonts w:hint="eastAsia"/>
          <w:rtl w:val="off"/>
        </w:rPr>
        <w:t>EBITA Change : 전년도 대비 조정 영업이이읙 증가 또는 감소율을 백분율로 나타낸값.</w:t>
      </w:r>
    </w:p>
    <w:p>
      <w:pPr>
        <w:rPr>
          <w:lang w:eastAsia="ko-KR"/>
          <w:rFonts w:hint="eastAsia"/>
          <w:rtl w:val="off"/>
        </w:rPr>
      </w:pPr>
      <w:r>
        <w:rPr>
          <w:lang w:eastAsia="ko-KR"/>
          <w:rFonts w:hint="eastAsia"/>
          <w:rtl w:val="off"/>
        </w:rPr>
        <w:t>업계 쉐어- 가전제품부분</w:t>
      </w:r>
    </w:p>
    <w:p>
      <w:pPr>
        <w:rPr>
          <w:lang w:eastAsia="ko-KR"/>
          <w:rFonts w:hint="eastAsia"/>
          <w:rtl w:val="off"/>
        </w:rPr>
      </w:pPr>
      <w:r>
        <w:rPr>
          <w:rFonts w:hint="eastAsia"/>
        </w:rPr>
        <w:drawing>
          <wp:inline distT="0" distB="0" distL="180" distR="180">
            <wp:extent cx="5731510" cy="4158615"/>
            <wp:effectExtent l="0" t="0" r="0" b="0"/>
            <wp:docPr id="1027" name="shape1027"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noChangeAspect="1"/>
                    </pic:cNvPicPr>
                  </pic:nvPicPr>
                  <pic:blipFill>
                    <a:blip r:embed="rId3">
                      <a:extLst>
                        <a:ext uri="{28A0092B-C50C-407E-A947-70E740481C1C}">
                          <a14:useLocalDpi xmlns:a14="http://schemas.microsoft.com/office/drawing/2010/main" val="0"/>
                        </a:ext>
                      </a:extLst>
                    </a:blip>
                    <a:srcRect/>
                    <a:stretch>
                      <a:fillRect/>
                    </a:stretch>
                  </pic:blipFill>
                  <pic:spPr>
                    <a:xfrm>
                      <a:off x="0" y="0"/>
                      <a:ext cx="5731510" cy="4158615"/>
                    </a:xfrm>
                    <a:prstGeom prst="rect"/>
                  </pic:spPr>
                </pic:pic>
              </a:graphicData>
            </a:graphic>
          </wp:inline>
        </w:drawing>
      </w:r>
    </w:p>
    <w:p>
      <w:pPr>
        <w:rPr>
          <w:lang w:eastAsia="ko-KR"/>
          <w:rFonts w:hint="eastAsia"/>
          <w:rtl w:val="off"/>
        </w:rPr>
      </w:pPr>
      <w:r>
        <w:rPr>
          <w:lang w:eastAsia="ko-KR"/>
          <w:rFonts w:hint="eastAsia"/>
          <w:rtl w:val="off"/>
        </w:rPr>
        <w:t>it 부분</w:t>
      </w:r>
    </w:p>
    <w:p>
      <w:pPr>
        <w:rPr>
          <w:lang w:eastAsia="ko-KR"/>
          <w:rFonts w:hint="eastAsia"/>
          <w:rtl w:val="off"/>
        </w:rPr>
      </w:pPr>
      <w:r>
        <w:rPr>
          <w:rFonts w:hint="eastAsia"/>
        </w:rPr>
        <w:drawing>
          <wp:inline distT="0" distB="0" distL="180" distR="180">
            <wp:extent cx="5731510" cy="3004185"/>
            <wp:effectExtent l="0" t="0" r="0" b="0"/>
            <wp:docPr id="1028" name="shape1028"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noChangeAspect="1"/>
                    </pic:cNvPicPr>
                  </pic:nvPicPr>
                  <pic:blipFill>
                    <a:blip r:embed="rId4">
                      <a:extLst>
                        <a:ext uri="{28A0092B-C50C-407E-A947-70E740481C1C}">
                          <a14:useLocalDpi xmlns:a14="http://schemas.microsoft.com/office/drawing/2010/main" val="0"/>
                        </a:ext>
                      </a:extLst>
                    </a:blip>
                    <a:srcRect/>
                    <a:stretch>
                      <a:fillRect/>
                    </a:stretch>
                  </pic:blipFill>
                  <pic:spPr>
                    <a:xfrm>
                      <a:off x="0" y="0"/>
                      <a:ext cx="5731510" cy="3004185"/>
                    </a:xfrm>
                    <a:prstGeom prst="rect"/>
                  </pic:spPr>
                </pic:pic>
              </a:graphicData>
            </a:graphic>
          </wp:inline>
        </w:drawing>
      </w:r>
    </w:p>
    <w:p>
      <w:pPr>
        <w:rPr>
          <w:lang w:eastAsia="ko-KR"/>
          <w:rFonts w:hint="eastAsia"/>
          <w:rtl w:val="off"/>
        </w:rPr>
      </w:pPr>
    </w:p>
    <w:p>
      <w:pPr>
        <w:rPr>
          <w:b/>
          <w:bCs/>
          <w:sz w:val="40"/>
          <w:szCs w:val="40"/>
        </w:rPr>
      </w:pPr>
      <w:r>
        <w:rPr>
          <w:rFonts w:hint="eastAsia"/>
          <w:b/>
          <w:bCs/>
          <w:sz w:val="40"/>
          <w:szCs w:val="40"/>
        </w:rPr>
        <w:t>2.주요기업의 연간 결산서 2년분</w:t>
      </w:r>
    </w:p>
    <w:p>
      <w:pPr>
        <w:rPr/>
      </w:pPr>
      <w:r>
        <w:rPr/>
        <w:t>決算関連（決算短信・決算説明会）：株主・投資家向け情報：日立</w:t>
      </w:r>
    </w:p>
    <w:p>
      <w:pPr>
        <w:tabs>
          <w:tab w:val="left" w:pos="2712"/>
        </w:tabs>
        <w:rPr>
          <w:lang w:eastAsia="ko-KR"/>
          <w:rFonts w:hint="eastAsia"/>
          <w:rtl w:val="off"/>
        </w:rPr>
      </w:pPr>
    </w:p>
    <w:p>
      <w:pPr>
        <w:tabs>
          <w:tab w:val="left" w:pos="2712"/>
        </w:tabs>
        <w:rPr>
          <w:lang w:eastAsia="ko-KR"/>
          <w:rFonts w:hint="eastAsia"/>
          <w:rtl w:val="off"/>
        </w:rPr>
      </w:pPr>
    </w:p>
    <w:p>
      <w:pPr>
        <w:tabs>
          <w:tab w:val="left" w:pos="2712"/>
        </w:tabs>
        <w:rPr>
          <w:lang w:eastAsia="ko-KR"/>
          <w:rFonts w:hint="eastAsia"/>
          <w:rtl w:val="off"/>
        </w:rPr>
      </w:pPr>
    </w:p>
    <w:p>
      <w:pPr>
        <w:tabs>
          <w:tab w:val="left" w:pos="2712"/>
        </w:tabs>
        <w:rPr>
          <w:lang w:eastAsia="ko-KR"/>
          <w:rFonts w:hint="eastAsia"/>
          <w:rtl w:val="off"/>
        </w:rPr>
      </w:pPr>
    </w:p>
    <w:p>
      <w:pPr>
        <w:tabs>
          <w:tab w:val="left" w:pos="2712"/>
        </w:tabs>
        <w:rPr>
          <w:lang w:eastAsia="ko-KR"/>
          <w:rFonts w:hint="eastAsia"/>
          <w:rtl w:val="off"/>
        </w:rPr>
      </w:pPr>
    </w:p>
    <w:p>
      <w:pPr>
        <w:rPr>
          <w:lang w:eastAsia="ko-KR"/>
          <w:rFonts w:hint="eastAsia"/>
          <w:b/>
          <w:bCs/>
          <w:sz w:val="40"/>
          <w:szCs w:val="40"/>
          <w:rtl w:val="off"/>
        </w:rPr>
      </w:pPr>
      <w:r>
        <w:rPr>
          <w:rFonts w:hint="eastAsia"/>
          <w:b/>
          <w:bCs/>
          <w:sz w:val="40"/>
          <w:szCs w:val="40"/>
        </w:rPr>
        <w:t>3.사업보고서 또는 회사 중장기 사업계획서</w:t>
      </w:r>
    </w:p>
    <w:p>
      <w:pPr>
        <w:rPr>
          <w:lang w:eastAsia="ko-KR"/>
          <w:rFonts w:hint="eastAsia"/>
          <w:b/>
          <w:bCs/>
          <w:sz w:val="40"/>
          <w:szCs w:val="40"/>
          <w:rtl w:val="off"/>
        </w:rPr>
      </w:pPr>
      <w:r>
        <w:rPr>
          <w:b/>
          <w:bCs/>
          <w:sz w:val="40"/>
          <w:szCs w:val="40"/>
        </w:rPr>
        <w:drawing>
          <wp:inline distT="0" distB="0" distL="180" distR="180">
            <wp:extent cx="5731510" cy="2191385"/>
            <wp:effectExtent l="0" t="0" r="0" b="0"/>
            <wp:docPr id="1029" name="shape1029"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noChangeAspect="1"/>
                    </pic:cNvPicPr>
                  </pic:nvPicPr>
                  <pic:blipFill>
                    <a:blip r:embed="rId5">
                      <a:extLst>
                        <a:ext uri="{28A0092B-C50C-407E-A947-70E740481C1C}">
                          <a14:useLocalDpi xmlns:a14="http://schemas.microsoft.com/office/drawing/2010/main" val="0"/>
                        </a:ext>
                      </a:extLst>
                    </a:blip>
                    <a:srcRect/>
                    <a:stretch>
                      <a:fillRect/>
                    </a:stretch>
                  </pic:blipFill>
                  <pic:spPr>
                    <a:xfrm>
                      <a:off x="0" y="0"/>
                      <a:ext cx="5731510" cy="2191385"/>
                    </a:xfrm>
                    <a:prstGeom prst="rect"/>
                  </pic:spPr>
                </pic:pic>
              </a:graphicData>
            </a:graphic>
          </wp:inline>
        </w:drawing>
      </w:r>
    </w:p>
    <w:p>
      <w:pPr>
        <w:rPr>
          <w:lang w:eastAsia="ko-KR"/>
          <w:rFonts w:hint="eastAsia"/>
          <w:b/>
          <w:bCs/>
          <w:sz w:val="22"/>
          <w:szCs w:val="22"/>
          <w:rtl w:val="off"/>
        </w:rPr>
      </w:pPr>
      <w:r>
        <w:rPr>
          <w:lang w:eastAsia="ko-KR"/>
          <w:b/>
          <w:bCs/>
          <w:sz w:val="22"/>
          <w:szCs w:val="22"/>
          <w:rtl w:val="off"/>
        </w:rPr>
        <w:t>사업 보고서</w:t>
      </w:r>
    </w:p>
    <w:p>
      <w:pPr>
        <w:rPr>
          <w:lang w:eastAsia="ko-KR"/>
          <w:rFonts w:hint="eastAsia"/>
          <w:b/>
          <w:bCs/>
          <w:sz w:val="22"/>
          <w:szCs w:val="22"/>
          <w:rtl w:val="off"/>
        </w:rPr>
      </w:pPr>
      <w:r>
        <w:rPr>
          <w:lang w:eastAsia="ko-KR"/>
          <w:b/>
          <w:bCs/>
          <w:sz w:val="22"/>
          <w:szCs w:val="22"/>
          <w:rtl w:val="off"/>
        </w:rPr>
        <w:t>(2023월 4월 1일~2024년 3월 31일)</w:t>
      </w:r>
    </w:p>
    <w:p>
      <w:pPr>
        <w:rPr>
          <w:lang w:eastAsia="ko-KR"/>
          <w:rFonts w:hint="eastAsia"/>
          <w:b/>
          <w:bCs/>
          <w:sz w:val="22"/>
          <w:szCs w:val="22"/>
          <w:rtl w:val="off"/>
        </w:rPr>
      </w:pPr>
      <w:r>
        <w:rPr>
          <w:lang w:eastAsia="ko-KR"/>
          <w:b/>
          <w:bCs/>
          <w:sz w:val="22"/>
          <w:szCs w:val="22"/>
          <w:rtl w:val="off"/>
        </w:rPr>
        <w:t>히타치 그룹 사업의 진행상황과 그 성과</w:t>
      </w:r>
    </w:p>
    <w:p>
      <w:pPr>
        <w:rPr>
          <w:lang w:eastAsia="ko-KR"/>
          <w:rFonts w:hint="eastAsia"/>
          <w:b/>
          <w:bCs/>
          <w:sz w:val="22"/>
          <w:szCs w:val="22"/>
          <w:rtl w:val="off"/>
        </w:rPr>
      </w:pPr>
    </w:p>
    <w:p>
      <w:pPr>
        <w:rPr>
          <w:lang w:eastAsia="ko-KR"/>
          <w:rFonts w:hint="eastAsia"/>
          <w:b/>
          <w:bCs/>
          <w:sz w:val="22"/>
          <w:szCs w:val="22"/>
          <w:rtl w:val="off"/>
        </w:rPr>
      </w:pPr>
      <w:r>
        <w:rPr>
          <w:lang w:eastAsia="ko-KR"/>
          <w:b/>
          <w:bCs/>
          <w:sz w:val="22"/>
          <w:szCs w:val="22"/>
          <w:rtl w:val="off"/>
        </w:rPr>
        <w:t>당기의 실적</w:t>
      </w:r>
    </w:p>
    <w:p>
      <w:pPr>
        <w:rPr>
          <w:b/>
          <w:bCs/>
          <w:sz w:val="22"/>
          <w:szCs w:val="22"/>
        </w:rPr>
      </w:pPr>
      <w:r>
        <w:rPr>
          <w:lang w:eastAsia="ko-KR"/>
          <w:b/>
          <w:bCs/>
          <w:sz w:val="22"/>
          <w:szCs w:val="22"/>
          <w:rtl w:val="off"/>
        </w:rPr>
        <w:t>이번 회기동안 세계 경제는 완만한 경기 회복 기조가 관찰되었지만, 다양한 지여겡서의 지정학적 리스크 고조, 인플레이션과 환율 변동 등 불확실한 경영 환경이 지속되어있다. 이러한 경영 환경 속에서, 히타치의 이번 회기 실적은 사업 재편에 따른 영향과 더불어 Lumada 사업의 확장, 파워 그리드 사업 및 철도 시스템 사업의 견조한 성장 등에 힘입어, 사업의 유기적 성장 효과로 매출은 9조 7287억에 달한다. 조정된 EBITA는 9181억엔으로, 전기 대비 1.3포인트 증가한 9.4프로 달성. 모회사 주주에게 귀속되는 당기 순이익은 5898억엔에 이른다. 재무적인 면에서는 캐시 플로우 경영을 강화하고, 현금 창출력을 높이기 위한 노력의 결과, 코어 프리 캐시 플로운느 과거 최고 수준인 5714억 엔에 도달. 이로 인해 수익성과 현금 창출 능력이 향상 되었고, 연간 배당금은 전기 대비 35엔 증가한 180엔으로 결정됨. 또한 약 1000억엔 규모의 자기주식 매입을 실시.</w:t>
      </w:r>
    </w:p>
    <w:p>
      <w:pPr>
        <w:tabs>
          <w:tab w:val="left" w:pos="2712"/>
        </w:tabs>
        <w:rPr>
          <w:lang w:eastAsia="ko-KR"/>
          <w:rFonts w:hint="eastAsia"/>
          <w:rtl w:val="off"/>
        </w:rPr>
      </w:pPr>
      <w:r>
        <w:rPr>
          <w:rFonts w:hint="eastAsia"/>
        </w:rPr>
        <w:drawing>
          <wp:inline distT="0" distB="0" distL="180" distR="180">
            <wp:extent cx="5731510" cy="2416810"/>
            <wp:effectExtent l="0" t="0" r="0" b="0"/>
            <wp:docPr id="1030" name="shape1030"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noChangeAspect="1"/>
                    </pic:cNvPicPr>
                  </pic:nvPicPr>
                  <pic:blipFill>
                    <a:blip r:embed="rId6">
                      <a:extLst>
                        <a:ext uri="{28A0092B-C50C-407E-A947-70E740481C1C}">
                          <a14:useLocalDpi xmlns:a14="http://schemas.microsoft.com/office/drawing/2010/main" val="0"/>
                        </a:ext>
                      </a:extLst>
                    </a:blip>
                    <a:srcRect/>
                    <a:stretch>
                      <a:fillRect/>
                    </a:stretch>
                  </pic:blipFill>
                  <pic:spPr>
                    <a:xfrm>
                      <a:off x="0" y="0"/>
                      <a:ext cx="5731510" cy="2416810"/>
                    </a:xfrm>
                    <a:prstGeom prst="rect"/>
                  </pic:spPr>
                </pic:pic>
              </a:graphicData>
            </a:graphic>
          </wp:inline>
        </w:drawing>
      </w:r>
    </w:p>
    <w:p>
      <w:pPr>
        <w:tabs>
          <w:tab w:val="left" w:pos="2712"/>
        </w:tabs>
        <w:rPr>
          <w:lang w:eastAsia="ko-KR"/>
          <w:rFonts w:hint="eastAsia"/>
          <w:rtl w:val="off"/>
        </w:rPr>
      </w:pPr>
      <w:r>
        <w:rPr>
          <w:lang w:eastAsia="ko-KR"/>
          <w:rFonts w:hint="eastAsia"/>
          <w:rtl w:val="off"/>
        </w:rPr>
        <w:t>당기의 정책과 계획</w:t>
      </w:r>
    </w:p>
    <w:p>
      <w:pPr>
        <w:tabs>
          <w:tab w:val="left" w:pos="2712"/>
        </w:tabs>
        <w:rPr>
          <w:lang w:eastAsia="ko-KR"/>
          <w:rFonts w:hint="eastAsia"/>
          <w:rtl w:val="off"/>
        </w:rPr>
      </w:pPr>
      <w:r>
        <w:rPr>
          <w:lang w:eastAsia="ko-KR"/>
          <w:rFonts w:hint="eastAsia"/>
          <w:rtl w:val="off"/>
        </w:rPr>
        <w:t>이번 회기는 2024 중기 경영 계획의 2년 차로서, 주로 아래와 같은 작업에 착수하여 성장 모드의 전환을 가속화하고 있따.</w:t>
      </w:r>
    </w:p>
    <w:p>
      <w:pPr>
        <w:tabs>
          <w:tab w:val="left" w:pos="2712"/>
        </w:tabs>
        <w:rPr>
          <w:lang w:eastAsia="ko-KR"/>
          <w:rFonts w:hint="eastAsia"/>
          <w:rtl w:val="off"/>
        </w:rPr>
      </w:pPr>
      <w:r>
        <w:rPr>
          <w:lang w:eastAsia="ko-KR"/>
          <w:rFonts w:hint="eastAsia"/>
          <w:rtl w:val="off"/>
        </w:rPr>
        <w:t>DX GX의 수요는 지속적으로 글로벌하게 증가하고 있으며, 고객의 경영 과제를 파악한 뒤, 그 해결 방안을 설계 실행 운영 보수함과 동시에 다음의 과제 해결에 착수하는 Lumada에 있어 고객과의 가치 창출 사이클 강화를 One Hitachi로 추진한 결과. 해당 사업의 매출은 전년도 대비 19프로 증가하여 2조 3340억엔에 이르렀다.</w:t>
      </w:r>
    </w:p>
    <w:p>
      <w:pPr>
        <w:tabs>
          <w:tab w:val="left" w:pos="2712"/>
        </w:tabs>
        <w:rPr>
          <w:lang w:eastAsia="ko-KR"/>
          <w:rFonts w:hint="eastAsia"/>
          <w:rtl w:val="off"/>
        </w:rPr>
      </w:pPr>
      <w:r>
        <w:rPr>
          <w:lang w:eastAsia="ko-KR"/>
          <w:rFonts w:hint="eastAsia"/>
          <w:rtl w:val="off"/>
        </w:rPr>
        <w:t>일본 국내에서는 다음 회기 중 중앙 배전 관리 시스템을 도입하고, 전국 규모의 전력 공급 안정화를 위해 전력 수급 조정 시스템의 공동화를 진행할 예정이다.</w:t>
      </w:r>
    </w:p>
    <w:p>
      <w:pPr>
        <w:tabs>
          <w:tab w:val="left" w:pos="2712"/>
        </w:tabs>
        <w:rPr>
          <w:lang w:eastAsia="ko-KR"/>
          <w:rFonts w:hint="eastAsia"/>
          <w:rtl w:val="off"/>
        </w:rPr>
      </w:pPr>
      <w:r>
        <w:rPr>
          <w:rFonts w:hint="eastAsia"/>
        </w:rPr>
        <w:drawing>
          <wp:inline distT="0" distB="0" distL="180" distR="180">
            <wp:extent cx="5731510" cy="4879340"/>
            <wp:effectExtent l="0" t="0" r="0" b="0"/>
            <wp:docPr id="1031" name="shape1031"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noChangeAspect="1"/>
                    </pic:cNvPicPr>
                  </pic:nvPicPr>
                  <pic:blipFill>
                    <a:blip r:embed="rId7">
                      <a:extLst>
                        <a:ext uri="{28A0092B-C50C-407E-A947-70E740481C1C}">
                          <a14:useLocalDpi xmlns:a14="http://schemas.microsoft.com/office/drawing/2010/main" val="0"/>
                        </a:ext>
                      </a:extLst>
                    </a:blip>
                    <a:srcRect/>
                    <a:stretch>
                      <a:fillRect/>
                    </a:stretch>
                  </pic:blipFill>
                  <pic:spPr>
                    <a:xfrm>
                      <a:off x="0" y="0"/>
                      <a:ext cx="5731510" cy="4879340"/>
                    </a:xfrm>
                    <a:prstGeom prst="rect"/>
                  </pic:spPr>
                </pic:pic>
              </a:graphicData>
            </a:graphic>
          </wp:inline>
        </w:drawing>
      </w:r>
    </w:p>
    <w:p>
      <w:pPr>
        <w:tabs>
          <w:tab w:val="left" w:pos="2712"/>
        </w:tabs>
        <w:rPr>
          <w:lang w:eastAsia="ko-KR"/>
          <w:rFonts w:hint="eastAsia"/>
          <w:rtl w:val="off"/>
        </w:rPr>
      </w:pPr>
      <w:r>
        <w:rPr>
          <w:lang w:eastAsia="ko-KR"/>
          <w:rFonts w:hint="eastAsia"/>
          <w:rtl w:val="off"/>
        </w:rPr>
        <w:t xml:space="preserve">디지털 시스템 &amp; 서비스 </w:t>
      </w:r>
    </w:p>
    <w:p>
      <w:pPr>
        <w:tabs>
          <w:tab w:val="left" w:pos="2712"/>
        </w:tabs>
        <w:rPr>
          <w:lang w:eastAsia="ko-KR"/>
          <w:rFonts w:hint="eastAsia"/>
          <w:rtl w:val="off"/>
        </w:rPr>
      </w:pPr>
      <w:r>
        <w:rPr>
          <w:lang w:eastAsia="ko-KR"/>
          <w:rFonts w:hint="eastAsia"/>
          <w:rtl w:val="off"/>
        </w:rPr>
        <w:t>지속 가능한 사회 실현을 목표로 LUMADA 사업을 중심으로 하여, AI와 분석 기술 등의 선진 디지털 기술을 활용해 데이터를 기반으로 가치를 창출한느 고부가가치 디지털 솔류션을 제공한다.</w:t>
      </w:r>
    </w:p>
    <w:p>
      <w:pPr>
        <w:tabs>
          <w:tab w:val="left" w:pos="2712"/>
        </w:tabs>
        <w:rPr>
          <w:lang w:eastAsia="ko-KR"/>
          <w:rFonts w:hint="eastAsia"/>
          <w:rtl w:val="off"/>
        </w:rPr>
      </w:pPr>
      <w:r>
        <w:rPr>
          <w:lang w:eastAsia="ko-KR"/>
          <w:rFonts w:hint="eastAsia"/>
          <w:rtl w:val="off"/>
        </w:rPr>
        <w:t>주요지표</w:t>
      </w:r>
    </w:p>
    <w:p>
      <w:pPr>
        <w:rPr>
          <w:b w:val="0"/>
        </w:rPr>
      </w:pPr>
      <w:r>
        <w:rPr/>
        <w:t>매출</w:t>
      </w:r>
      <w:r>
        <w:rPr/>
        <w:t>: 25,986억 엔 (전기 대비 9% 증가)</w:t>
      </w:r>
    </w:p>
    <w:p>
      <w:pPr>
        <w:rPr>
          <w:b w:val="0"/>
        </w:rPr>
      </w:pPr>
      <w:r>
        <w:rPr/>
        <w:t>조정된 EBITA</w:t>
      </w:r>
      <w:r>
        <w:rPr/>
        <w:t>: 3,334억 엔 (전기 대비 14% 증가)</w:t>
      </w:r>
    </w:p>
    <w:p>
      <w:pPr>
        <w:rPr>
          <w:b w:val="0"/>
        </w:rPr>
      </w:pPr>
      <w:r>
        <w:rPr/>
        <w:t>조정된 EBITA율</w:t>
      </w:r>
      <w:r>
        <w:rPr/>
        <w:t>: 12.8% (전기 대비 0.5포인트 증가)</w:t>
      </w:r>
    </w:p>
    <w:p>
      <w:pPr>
        <w:rPr>
          <w:b w:val="0"/>
        </w:rPr>
      </w:pPr>
      <w:r>
        <w:rPr/>
        <w:t>ROIC</w:t>
      </w:r>
      <w:r>
        <w:rPr/>
        <w:t>: 8.8% (전기 대비 0.5포인트 증가)</w:t>
      </w:r>
    </w:p>
    <w:p>
      <w:pPr>
        <w:tabs>
          <w:tab w:val="left" w:pos="2712"/>
        </w:tabs>
        <w:rPr>
          <w:lang w:eastAsia="ko-KR"/>
          <w:rFonts w:hint="eastAsia"/>
          <w:rtl w:val="off"/>
        </w:rPr>
      </w:pPr>
      <w:r>
        <w:rPr>
          <w:lang w:eastAsia="ko-KR"/>
          <w:rFonts w:hint="eastAsia"/>
          <w:rtl w:val="off"/>
        </w:rPr>
        <w:t>Lumada 사업의 확장 등에 힙입어, 환율 영향과 함꼐 수익성이 증가함. 또한 성장을 지속하고 있는 GlobalLogic사는 매출이 전기대비 23%증가했으며, 조정된 EBITA율은 19.6프로를 기록</w:t>
      </w:r>
    </w:p>
    <w:p>
      <w:pPr>
        <w:tabs>
          <w:tab w:val="left" w:pos="2712"/>
        </w:tabs>
        <w:rPr>
          <w:lang w:eastAsia="ko-KR"/>
          <w:rFonts w:hint="eastAsia"/>
          <w:rtl w:val="off"/>
        </w:rPr>
      </w:pPr>
      <w:r>
        <w:rPr>
          <w:lang w:eastAsia="ko-KR"/>
          <w:rFonts w:hint="eastAsia"/>
          <w:rtl w:val="off"/>
        </w:rPr>
        <w:t>당기 주요 활동</w:t>
      </w:r>
    </w:p>
    <w:p>
      <w:pPr>
        <w:tabs>
          <w:tab w:val="left" w:pos="2712"/>
        </w:tabs>
        <w:rPr>
          <w:lang w:eastAsia="ko-KR"/>
          <w:rFonts w:hint="eastAsia"/>
          <w:rtl w:val="off"/>
        </w:rPr>
      </w:pPr>
      <w:r>
        <w:rPr>
          <w:lang w:eastAsia="ko-KR"/>
          <w:rFonts w:hint="eastAsia"/>
          <w:rtl w:val="off"/>
        </w:rPr>
        <w:t>풍부한 디지털 인재와 선진 기술을 강화하여, 사회와 고객이 직면한 과제를 해결하기 위한 다양한 솔루션 제공에 주력했다. 또한 글로벌 사업 확대를 위해 성장 엔진으로 자리 잡고 있는 GlobalLogic의 개발, 서비스 제공 거점 확장을 계속하여, 지속적인 사업 성장을 유지. 히타치 그룹의 강점을 살린 DX프로젝트를 더욱 가속화하기 위해 Hitachi Vantara와 함꼐 글로벌 조직 재편을 진행</w:t>
      </w:r>
    </w:p>
    <w:p>
      <w:pPr>
        <w:tabs>
          <w:tab w:val="left" w:pos="2712"/>
        </w:tabs>
        <w:rPr>
          <w:lang w:eastAsia="ko-KR"/>
          <w:rFonts w:hint="eastAsia"/>
          <w:rtl w:val="off"/>
        </w:rPr>
      </w:pPr>
      <w:r>
        <w:rPr>
          <w:lang w:eastAsia="ko-KR"/>
          <w:rFonts w:hint="eastAsia"/>
          <w:rtl w:val="off"/>
        </w:rPr>
        <w:t>또한 사업 모델 변화를 촉진하는 첨단 기술 투자에 적극적으로 나섬. 특히 빠르게 발전하는 생성형 AI를 활용한 혁신 창출과 일본 국내 고객 및 파트너와의 협력을 톻해 다양한 협력 프로젝트를 추진 중</w:t>
      </w:r>
    </w:p>
    <w:p>
      <w:pPr>
        <w:tabs>
          <w:tab w:val="left" w:pos="2712"/>
        </w:tabs>
        <w:rPr>
          <w:lang w:eastAsia="ko-KR"/>
          <w:rFonts w:hint="eastAsia"/>
          <w:rtl w:val="off"/>
        </w:rPr>
      </w:pPr>
      <w:r>
        <w:rPr>
          <w:lang w:eastAsia="ko-KR"/>
          <w:rFonts w:hint="eastAsia"/>
          <w:rtl w:val="off"/>
        </w:rPr>
        <w:t xml:space="preserve"> ---&gt; 이상 2023년 사업계획 보고서 (제일 최신)</w:t>
      </w:r>
    </w:p>
    <w:p>
      <w:pPr>
        <w:rPr/>
      </w:pPr>
      <w:r>
        <w:rPr>
          <w:lang w:eastAsia="ko-KR"/>
          <w:rFonts w:hint="eastAsia"/>
          <w:rtl w:val="off"/>
        </w:rPr>
        <w:fldChar w:fldCharType="begin"/>
      </w:r>
      <w:r>
        <w:rPr>
          <w:lang w:eastAsia="ko-KR"/>
          <w:rFonts w:hint="eastAsia"/>
          <w:rtl w:val="off"/>
        </w:rPr>
        <w:instrText xml:space="preserve"> HYPERLINK "https://www.hitachi.co.jp/IR/library/report/index.html#Documents2023" </w:instrText>
      </w:r>
      <w:r>
        <w:rPr>
          <w:lang w:eastAsia="ko-KR"/>
          <w:rFonts w:hint="eastAsia"/>
          <w:rtl w:val="off"/>
        </w:rPr>
        <w:fldChar w:fldCharType="separate"/>
      </w:r>
      <w:r>
        <w:rPr>
          <w:rStyle w:val="aa"/>
          <w:lang w:eastAsia="ko-KR"/>
          <w:rFonts w:hint="eastAsia"/>
          <w:rtl w:val="off"/>
        </w:rPr>
        <w:t xml:space="preserve"> 사업 보고서: 주주 및 투자자를 위한 정보: Hitachi</w:t>
      </w:r>
      <w:r>
        <w:rPr>
          <w:lang w:eastAsia="ko-KR"/>
          <w:rFonts w:hint="eastAsia"/>
          <w:rtl w:val="off"/>
        </w:rPr>
        <w:fldChar w:fldCharType="end"/>
      </w:r>
    </w:p>
    <w:p>
      <w:pPr>
        <w:tabs>
          <w:tab w:val="left" w:pos="2712"/>
        </w:tabs>
        <w:rPr>
          <w:lang w:eastAsia="ko-KR"/>
          <w:rFonts w:hint="eastAsia"/>
          <w:rtl w:val="off"/>
        </w:rPr>
      </w:pPr>
    </w:p>
    <w:p>
      <w:pPr>
        <w:tabs>
          <w:tab w:val="left" w:pos="2712"/>
        </w:tabs>
        <w:rPr>
          <w:lang w:eastAsia="ko-KR"/>
          <w:rFonts w:hint="eastAsia"/>
          <w:rtl w:val="off"/>
        </w:rPr>
      </w:pPr>
      <w:r>
        <w:rPr>
          <w:lang w:eastAsia="ko-KR"/>
          <w:rFonts w:hint="eastAsia"/>
          <w:rtl w:val="off"/>
        </w:rPr>
        <w:t>4. 회사 비전 또는 이념 경영자의 인사글</w:t>
      </w:r>
    </w:p>
    <w:p>
      <w:pPr>
        <w:tabs>
          <w:tab w:val="left" w:pos="2712"/>
        </w:tabs>
        <w:rPr>
          <w:lang w:eastAsia="ko-KR"/>
          <w:rFonts w:hint="eastAsia"/>
          <w:rtl w:val="off"/>
        </w:rPr>
      </w:pPr>
      <w:r>
        <w:rPr>
          <w:rFonts w:hint="eastAsia"/>
        </w:rPr>
        <w:drawing>
          <wp:inline distT="0" distB="0" distL="180" distR="180">
            <wp:extent cx="5731510" cy="1811020"/>
            <wp:effectExtent l="0" t="0" r="0" b="0"/>
            <wp:docPr id="1032" name="shape1032"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noChangeAspect="1"/>
                    </pic:cNvPicPr>
                  </pic:nvPicPr>
                  <pic:blipFill>
                    <a:blip r:embed="rId8">
                      <a:extLst>
                        <a:ext uri="{28A0092B-C50C-407E-A947-70E740481C1C}">
                          <a14:useLocalDpi xmlns:a14="http://schemas.microsoft.com/office/drawing/2010/main" val="0"/>
                        </a:ext>
                      </a:extLst>
                    </a:blip>
                    <a:srcRect/>
                    <a:stretch>
                      <a:fillRect/>
                    </a:stretch>
                  </pic:blipFill>
                  <pic:spPr>
                    <a:xfrm>
                      <a:off x="0" y="0"/>
                      <a:ext cx="5731510" cy="1811020"/>
                    </a:xfrm>
                    <a:prstGeom prst="rect"/>
                  </pic:spPr>
                </pic:pic>
              </a:graphicData>
            </a:graphic>
          </wp:inline>
        </w:drawing>
      </w:r>
    </w:p>
    <w:p>
      <w:pPr>
        <w:tabs>
          <w:tab w:val="left" w:pos="2712"/>
        </w:tabs>
        <w:rPr>
          <w:lang w:eastAsia="ko-KR"/>
          <w:rFonts w:hint="eastAsia"/>
          <w:rtl w:val="off"/>
        </w:rPr>
      </w:pPr>
      <w:r>
        <w:rPr>
          <w:lang w:eastAsia="ko-KR"/>
          <w:rFonts w:hint="eastAsia"/>
          <w:b/>
          <w:bCs/>
          <w:sz w:val="30"/>
          <w:szCs w:val="30"/>
          <w:rtl w:val="off"/>
        </w:rPr>
        <w:t>사회 혁신 비즈니스의 글로벌 리더가 되기 위한 변혁적인 여정.</w:t>
      </w:r>
    </w:p>
    <w:p>
      <w:pPr>
        <w:rPr/>
      </w:pPr>
      <w:r>
        <w:rPr/>
        <w:t>히타치는 사회 이노베이션 사업의 글로벌 리더를 목표로 10년 이상에 걸쳐 트랜스포메이션 여정을 지속해오고 있습니다. 지난 10년 이상의 경영 혁신은, 히타치가 보유한 IT×OT×프로덕트를 활용하여 고객과의 협업을 통해 사회 문제를 해결하는 "사회 이노베이션"이라는 사업 비전의 확립에서 시작되었습니다.</w:t>
      </w:r>
    </w:p>
    <w:p>
      <w:pPr>
        <w:rPr/>
      </w:pPr>
      <w:r>
        <w:rPr/>
        <w:t>타사에는 없는 사회 이노베이션 사업의 강점을 구축하기 위해 디지털화의 가속이 필수적이라고 판단하여, 2016년에 "Lumada"를 설립하였습니다. 또한, 사회 이노베이션 사업을 핵심 사업으로 삼고, 2015 중기 계획부터 2021 중기 계획까지 사업 포트폴리오 개혁을 단행해 왔습니다.</w:t>
      </w:r>
    </w:p>
    <w:p>
      <w:pPr>
        <w:rPr/>
      </w:pPr>
      <w:r>
        <w:rPr/>
        <w:t>이러한 구조 개혁을 거쳐, 현재의 2024 중기 계획에서는 유기적 성장을 목표로 방향을 크게 전환하였습니다. Lumada 사업을 주축으로 삼아 콩글로머리트(복합기업)에서 벗어나, 자본 시장에서의 평가는 자본재와 기술 주식의 중간에 위치하는 수준으로 개선되었습니다.</w:t>
      </w:r>
    </w:p>
    <w:p>
      <w:pPr>
        <w:rPr/>
      </w:pPr>
      <w:r>
        <w:rPr/>
        <w:t>더 나아가 글로벌 디지털 기업과 어깨를 나란히 할 수 있는 수준의 평가로 향상시키기 위해, 디지털 중심의 기업으로서 성장을 가속화하고 있습니다.</w:t>
      </w:r>
    </w:p>
    <w:p>
      <w:pPr>
        <w:tabs>
          <w:tab w:val="left" w:pos="2712"/>
        </w:tabs>
        <w:rPr>
          <w:lang w:eastAsia="ko-KR"/>
          <w:rFonts w:hint="eastAsia"/>
          <w:rtl w:val="off"/>
        </w:rPr>
      </w:pPr>
      <w:r>
        <w:rPr>
          <w:rFonts w:hint="eastAsia"/>
        </w:rPr>
        <w:drawing>
          <wp:inline distT="0" distB="0" distL="180" distR="180">
            <wp:extent cx="5372100" cy="2871470"/>
            <wp:effectExtent l="0" t="0" r="0" b="0"/>
            <wp:docPr id="1033" name="shape1033"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noChangeAspect="1"/>
                    </pic:cNvPicPr>
                  </pic:nvPicPr>
                  <pic:blipFill>
                    <a:blip r:embed="rId9">
                      <a:extLst>
                        <a:ext uri="{28A0092B-C50C-407E-A947-70E740481C1C}">
                          <a14:useLocalDpi xmlns:a14="http://schemas.microsoft.com/office/drawing/2010/main" val="0"/>
                        </a:ext>
                      </a:extLst>
                    </a:blip>
                    <a:srcRect/>
                    <a:stretch>
                      <a:fillRect/>
                    </a:stretch>
                  </pic:blipFill>
                  <pic:spPr>
                    <a:xfrm>
                      <a:off x="0" y="0"/>
                      <a:ext cx="5372100" cy="2871470"/>
                    </a:xfrm>
                    <a:prstGeom prst="rect"/>
                  </pic:spPr>
                </pic:pic>
              </a:graphicData>
            </a:graphic>
          </wp:inline>
        </w:drawing>
      </w:r>
    </w:p>
    <w:p>
      <w:pPr>
        <w:tabs>
          <w:tab w:val="left" w:pos="2712"/>
        </w:tabs>
        <w:rPr>
          <w:lang w:eastAsia="ko-KR"/>
          <w:rFonts w:hint="eastAsia"/>
          <w:rtl w:val="off"/>
        </w:rPr>
      </w:pPr>
      <w:r>
        <w:rPr>
          <w:rFonts w:hint="eastAsia"/>
        </w:rPr>
        <w:t>항상 '성장'이라는 두 글자를 추구하는 기업으로 거듭나기</w:t>
      </w:r>
    </w:p>
    <w:p>
      <w:pPr>
        <w:rPr/>
      </w:pPr>
      <w:r>
        <w:rPr/>
        <w:t>2024 중기 계획에서는 "디지털", "그린", "커넥티브"라는 세 가지 기술 트렌드에 따라 강력한 사업 포트폴리오를 구성하며, 유기적 성장을 목표로 경영 모드를 크게 전환했습니다. DX(디지털 트랜스포메이션), GX(그린 트랜스포메이션)의 순풍을 활용한 매출 성장, Lumada 사업 확장을 통한 수익률 향상, 리스크 관리 강화를 통한 당기 이익 안정화, 그리고 가장 중시하는 현금 창출력 강화를 위해 노력해왔습니다.</w:t>
      </w:r>
    </w:p>
    <w:p>
      <w:pPr>
        <w:rPr/>
      </w:pPr>
      <w:r>
        <w:rPr/>
        <w:t>그 결과, 이번 중기 계획에서 설정한 주요 KPI는 매출 성장률 10%, 조정된 EBITA율 11.5%, ROIC 9.5%, EPS 성장률 17%</w:t>
      </w:r>
      <w:r>
        <w:rPr/>
        <w:t>1, 코어 프리 캐시 플로우 1.5조 엔(3년 누적)으로 목표하는 재무 구조를 대체로 달성할 전망입니다</w:t>
      </w:r>
      <w:r>
        <w:rPr/>
        <w:t>2. 또한, 최종 이익과 캐시 플로우의 안정화 및 창출 강화를 나타내는 지표로 설정한 당기 이익 컨버전</w:t>
      </w:r>
      <w:r>
        <w:rPr/>
        <w:t>3 및 코어 프리 캐시 플로우 컨버전</w:t>
      </w:r>
      <w:r>
        <w:rPr/>
        <w:t>4은 각각 60% 이상, 80% 이상으로 개선되었으며, 창출된 현금을 성장 투자와 주주 환원에 배분하면서 유기적이고 지속 가능한 성장의 궤도에 확실히 올랐습니다.</w:t>
      </w:r>
    </w:p>
    <w:p>
      <w:pPr>
        <w:tabs>
          <w:tab w:val="left" w:pos="2712"/>
        </w:tabs>
        <w:rPr>
          <w:lang w:eastAsia="ko-KR"/>
          <w:rFonts w:hint="eastAsia"/>
          <w:rtl w:val="off"/>
        </w:rPr>
      </w:pPr>
      <w:r>
        <w:rPr>
          <w:rFonts w:hint="eastAsia"/>
        </w:rPr>
        <w:drawing>
          <wp:inline distT="0" distB="0" distL="180" distR="180">
            <wp:extent cx="5629275" cy="3033395"/>
            <wp:effectExtent l="0" t="0" r="0" b="0"/>
            <wp:docPr id="1034" name="shape1034"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noChangeAspect="1"/>
                    </pic:cNvPicPr>
                  </pic:nvPicPr>
                  <pic:blipFill>
                    <a:blip r:embed="rId10">
                      <a:extLst>
                        <a:ext uri="{28A0092B-C50C-407E-A947-70E740481C1C}">
                          <a14:useLocalDpi xmlns:a14="http://schemas.microsoft.com/office/drawing/2010/main" val="0"/>
                        </a:ext>
                      </a:extLst>
                    </a:blip>
                    <a:srcRect/>
                    <a:stretch>
                      <a:fillRect/>
                    </a:stretch>
                  </pic:blipFill>
                  <pic:spPr>
                    <a:xfrm>
                      <a:off x="0" y="0"/>
                      <a:ext cx="5629275" cy="3033395"/>
                    </a:xfrm>
                    <a:prstGeom prst="rect"/>
                  </pic:spPr>
                </pic:pic>
              </a:graphicData>
            </a:graphic>
          </wp:inline>
        </w:drawing>
      </w:r>
    </w:p>
    <w:p>
      <w:pPr>
        <w:rPr/>
      </w:pPr>
      <w:r>
        <w:rPr/>
        <w:t>생성 AI와 디지털이 가져오는 거대한 비즈니스 기회</w:t>
      </w:r>
    </w:p>
    <w:p>
      <w:pPr>
        <w:rPr/>
      </w:pPr>
      <w:r>
        <w:rPr/>
        <w:t>2024 중기 계획 기간 중 등장한 생성 AI는 향후 히타치의 트랜스포메이션 여정에서 없어서는 안 될 전환점을 가져올 기술 혁신입니다. 생성 AI는 IT의 역사를 전과 후로 나눌 정도로 거대한 영향을 가진 기술이라고 보고 있습니다. 그 영향력은 단기적으로도, 중장기적으로도 비즈니스 기회를 창출할 것이라고 예상됩니다.</w:t>
      </w:r>
    </w:p>
    <w:p>
      <w:pPr>
        <w:rPr/>
      </w:pPr>
      <w:r>
        <w:rPr/>
        <w:t>생성 AI는 다양한 사회 문제를 해결할 키 테크놀로지가 될 것으로 기대되지만, 생성 AI 시대에는 인터넷 시대처럼 기하급수적인 성장은 실현되지 않을 것입니다. 이는 생성 AI를 완전히 활용하려면 데이터 센터 등 디지털 인프라뿐 아니라, 이를 운영하기 위한 막대한 전력이 필요하기 때문입니다. 또한, 이러한 인프라를 구축하려면 최근 부족한 노동력과 자원을 확보해야 하는 과제가 있습니다. 이러한 물리적 제약이 생성 AI의 디지털 성장을 제한하는 구조이기 때문에, 현실(Real)과 사이버의 조화가 요구되고 있습니다.</w:t>
      </w:r>
    </w:p>
    <w:p>
      <w:pPr>
        <w:rPr/>
      </w:pPr>
      <w:r>
        <w:rPr/>
        <w:t>히타치는 이러한 사회 문제를 해결하기 위해, 생성 AI 시대에 부합하는 IT×OT×프로덕트를 활용한 One Hitachi의 솔루션을 전개해 나갈 것입니다.</w:t>
      </w:r>
      <w:r>
        <w:rPr/>
        <w:br/>
      </w:r>
      <w:r>
        <w:rPr/>
        <w:t>단기적으로는 소프트웨어 개발에서 엔지니어 부족 문제 해결, 데이터 센터 관련 시스템 수요 확대, 반도체 제조 및 검사 장비 수요 증가가 매우 큰 비즈니스 기회가 되고 있으며, 이미 긍정적인 영향을 사업에 미치고 있습니다. 중장기적으로는 심각한 전력 부족 문제 해결과 동시에, 발전소, 변전소, 건설 현장, 설비 유지보수 등의 프론트라인 워커의 부담 경감과 생산성 향상을 동시에 달성해 나갈 것입니다.</w:t>
      </w:r>
    </w:p>
    <w:p>
      <w:pPr>
        <w:rPr/>
      </w:pPr>
      <w:r>
        <w:rPr/>
        <w:t>생성 AI 보급과 상호 의존 관계에 있는 물리적 제약을 순환적으로 해소하는 모델을 구축함으로써, 생성 AI의 사회적 영향력을 최대화할 수 있을 것입니다. 이러한 모델을 구축하는 데 있어, 전력 회사, 건설 회사, 하이퍼스케일러와 같은 주요 플레이어들과 관계를 맺고 있다는 점은 히타치의 큰 강점입니다.</w:t>
      </w:r>
    </w:p>
    <w:p>
      <w:pPr>
        <w:rPr/>
      </w:pPr>
      <w:r>
        <w:rPr/>
        <w:t>이러한 거대한 비즈니스 기회는 디지털, 그린, 커넥티브라는 3개의 섹터가 협력해야만 얻을 수 있다고 보고 있습니다. 예를 들어, 생성 AI를 활용한 솔루션 제공에 있어 하이퍼스케일러나 전력 회사와 같은 관계 플레이어들과의 적절한 타이밍에 맞춰 투자와 사업을 추진해야 하지만, 이들 회사는 각각 다른 비즈니스 모델을 가지고 있습니다. 이에 따라, 히타치의 3개 섹터가 협력하여 데이터 센터 수요에 부응하면서 전력 부족을 해결하고, 생성 AI 활용을 촉진하는 현실과 사이버가 조화를 이룬 통합적 성장 전략을 제안할 수 있을 것입니다.</w:t>
      </w:r>
    </w:p>
    <w:p>
      <w:pPr>
        <w:rPr/>
      </w:pPr>
      <w:r>
        <w:rPr/>
        <w:t>히타치는 이처럼 생성 AI 등으로 인해 급속히 확대되고 있는 시장에 대응하는 투자를 추진하고 있습니다. 2024년도에는 1조 엔의 투자를 계획하고 있으며, 그 성과를 철저히 수확하면서 다음 중기 계획에서의 추가적인 성장을 이어 나갈 것입니다.</w:t>
      </w:r>
    </w:p>
    <w:p>
      <w:pPr>
        <w:tabs>
          <w:tab w:val="left" w:pos="2712"/>
        </w:tabs>
        <w:rPr>
          <w:lang w:eastAsia="ko-KR"/>
          <w:rFonts w:hint="eastAsia"/>
          <w:rtl w:val="off"/>
        </w:rPr>
      </w:pPr>
      <w:r>
        <w:rPr>
          <w:rFonts w:hint="eastAsia"/>
        </w:rPr>
        <w:drawing>
          <wp:inline distT="0" distB="0" distL="180" distR="180">
            <wp:extent cx="5591175" cy="3686175"/>
            <wp:effectExtent l="0" t="0" r="0" b="0"/>
            <wp:docPr id="1035" name="shape1035"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noChangeAspect="1"/>
                    </pic:cNvPicPr>
                  </pic:nvPicPr>
                  <pic:blipFill>
                    <a:blip r:embed="rId11">
                      <a:extLst>
                        <a:ext uri="{28A0092B-C50C-407E-A947-70E740481C1C}">
                          <a14:useLocalDpi xmlns:a14="http://schemas.microsoft.com/office/drawing/2010/main" val="0"/>
                        </a:ext>
                      </a:extLst>
                    </a:blip>
                    <a:srcRect/>
                    <a:stretch>
                      <a:fillRect/>
                    </a:stretch>
                  </pic:blipFill>
                  <pic:spPr>
                    <a:xfrm>
                      <a:off x="0" y="0"/>
                      <a:ext cx="5591175" cy="3686175"/>
                    </a:xfrm>
                    <a:prstGeom prst="rect"/>
                  </pic:spPr>
                </pic:pic>
              </a:graphicData>
            </a:graphic>
          </wp:inline>
        </w:drawing>
      </w:r>
    </w:p>
    <w:p>
      <w:pPr>
        <w:rPr/>
      </w:pPr>
      <w:r>
        <w:rPr/>
        <w:t>기술을 간파하고 전환점에 빠르게 대응하기</w:t>
      </w:r>
    </w:p>
    <w:p>
      <w:pPr>
        <w:rPr/>
      </w:pPr>
      <w:r>
        <w:rPr/>
        <w:t>히타치가 기업 가치 향상을 위한 트랜스포메이션 여정을 계속해 올 수 있었던 이유는, 다음 전환점을 만들어낼 기술을 정확히 간파하고, 그 활용이 가져올 혜택과 활용이 야기할 사회적 과제 모두에 대응할 준비를 갖춰왔기 때문이라고 할 수 있습니다.</w:t>
      </w:r>
      <w:r>
        <w:rPr/>
        <w:br/>
      </w:r>
      <w:r>
        <w:rPr/>
        <w:t>CEO의 역할은 미래를 읽고, 기술 동향을 이해하며, 이를 위해 필요한 포트폴리오와 기술에 투자해 기반을 마련하고, 이러한 자원을 성장 기회에 집중시키는 것이라고 생각합니다.</w:t>
      </w:r>
    </w:p>
    <w:p>
      <w:pPr>
        <w:rPr/>
      </w:pPr>
      <w:r>
        <w:rPr/>
        <w:t>앞으로 생성 AI를 통한 생산성 향상은 연구 개발 분야에서도 발휘되어, 양자 계산, 항노화, 핵융합과 같이 상용화까지 시간이 걸릴 것으로 예상되는 다음 전환점이 예상보다 빨리 도래할 가능성이 있습니다. 이에 대비해, 측정 및 진단, 세포 배양과 같은 기술을 더욱 정밀히 다듬어 이러한 분야가 미래에 크게 발전할 가능성에 준비하고 있습니다. 또한, 코퍼레이트 벤처링을 통해 스타트업과 협력하거나 글로벌 학계와 적극적으로 오픈 이노베이션을 추진하면서 미래를 내다보는 능력을 강화하고 있습니다.</w:t>
      </w:r>
      <w:r>
        <w:rPr/>
        <w:br/>
      </w:r>
      <w:r>
        <w:rPr/>
        <w:t>더 나아가, 다음 전환점을 염두에 둔 백캐스트형 R&amp;D와 M&amp;A 등을 실행하여 전환점이 나타날 경우 즉시 성장의 가속 페달을 밟을 수 있도록 준비하고 있습니다.</w:t>
      </w:r>
    </w:p>
    <w:p>
      <w:pPr>
        <w:rPr/>
      </w:pPr>
      <w:r>
        <w:rPr/>
        <w:t>CEO 메시지</w:t>
      </w:r>
    </w:p>
    <w:p>
      <w:pPr>
        <w:rPr/>
      </w:pPr>
      <w:r>
        <w:rPr/>
        <w:t>그 시점에 CEO는 세 가지 섹터를 연결하여, 예를 들어 "다음은 데이터 센터로 간다"라는 방향성을 명확히 제시하게 됩니다. 히타치의 기업 스테이트먼트인 **"Inspire the Next"**는 고객이 다음에 필요로 하는 것을 앞서 제안한다는 창업 이래의 마인드셋을 표현한 것으로, 히타치의 DNA이자 매력이라고 생각합니다.</w:t>
      </w:r>
    </w:p>
    <w:p>
      <w:pPr>
        <w:rPr/>
      </w:pPr>
      <w:r>
        <w:rPr/>
        <w:t>앞으로의 리더에게 요구되는 역할은, One Hitachi로서 팀플레이를 전 세계적으로 전개하기 위해 직원 개개인이 가진 "두근거리는 일", "하고 싶은 일"을 하나의 강력한 에너지로 통합하는 것입니다. 이는 인수 등을 통해 새롭게 히타치 그룹에 합류한 사업, 기술, 사람들을 포용(Inclusion)하는 것도 포함됩니다.</w:t>
      </w:r>
    </w:p>
    <w:p>
      <w:pPr>
        <w:rPr/>
      </w:pPr>
      <w:r>
        <w:rPr/>
        <w:t>히타치 창업 정신인 "화(和)", "성(誠)", "개척자 정신" 중 "화(和)"는 현대적으로 표현하면 "포용적 리더십(Inclusive Leadership)"이라고 할 수 있으며, 다양한 의견이 있는 상황에서 이를 하나의 높은 시각에서 통합적으로 보고 이끌어 가는 것을 의미합니다. 이러한 리더십을 통해 히타치는 사회 이노베이션 사업에서 더욱 발전할 수 있을 것이라고 믿고 있습니다.</w:t>
      </w:r>
    </w:p>
    <w:p>
      <w:pPr>
        <w:tabs>
          <w:tab w:val="left" w:pos="2712"/>
        </w:tabs>
        <w:rPr>
          <w:lang w:eastAsia="ko-KR"/>
          <w:rFonts w:hint="eastAsia"/>
          <w:rtl w:val="off"/>
        </w:rPr>
      </w:pPr>
      <w:r>
        <w:rPr>
          <w:lang w:eastAsia="ko-KR"/>
          <w:rFonts w:hint="eastAsia"/>
          <w:rtl w:val="off"/>
        </w:rPr>
        <w:t>회장- 코지마 케이지</w:t>
      </w:r>
    </w:p>
    <w:p>
      <w:pPr>
        <w:tabs>
          <w:tab w:val="left" w:pos="2712"/>
        </w:tabs>
        <w:rPr>
          <w:lang w:eastAsia="ko-KR"/>
          <w:rFonts w:hint="eastAsia"/>
          <w:rtl w:val="off"/>
        </w:rPr>
      </w:pPr>
    </w:p>
    <w:p>
      <w:pPr>
        <w:tabs>
          <w:tab w:val="left" w:pos="2712"/>
        </w:tabs>
        <w:rPr>
          <w:lang w:eastAsia="ko-KR"/>
          <w:rFonts w:hint="eastAsia"/>
          <w:rtl w:val="off"/>
        </w:rPr>
      </w:pPr>
    </w:p>
    <w:p>
      <w:pPr>
        <w:tabs>
          <w:tab w:val="left" w:pos="2712"/>
        </w:tabs>
        <w:rPr>
          <w:lang w:eastAsia="ko-KR"/>
          <w:rFonts w:hint="eastAsia"/>
          <w:b/>
          <w:bCs/>
          <w:sz w:val="40"/>
          <w:szCs w:val="40"/>
          <w:rtl w:val="off"/>
        </w:rPr>
      </w:pPr>
      <w:r>
        <w:rPr>
          <w:lang w:eastAsia="ko-KR"/>
          <w:rFonts w:hint="eastAsia"/>
          <w:b/>
          <w:bCs/>
          <w:sz w:val="40"/>
          <w:szCs w:val="40"/>
          <w:rtl w:val="off"/>
        </w:rPr>
        <w:t>기업평판</w:t>
      </w:r>
    </w:p>
    <w:p>
      <w:pPr>
        <w:tabs>
          <w:tab w:val="left" w:pos="2712"/>
        </w:tabs>
        <w:rPr>
          <w:lang w:eastAsia="ko-KR"/>
          <w:rFonts w:hint="eastAsia"/>
          <w:b/>
          <w:bCs/>
          <w:sz w:val="40"/>
          <w:szCs w:val="40"/>
          <w:rtl w:val="off"/>
        </w:rPr>
      </w:pPr>
      <w:r>
        <w:rPr>
          <w:rFonts w:hint="eastAsia"/>
          <w:b/>
          <w:bCs/>
          <w:sz w:val="40"/>
          <w:szCs w:val="40"/>
        </w:rPr>
        <w:drawing>
          <wp:inline distT="0" distB="0" distL="180" distR="180">
            <wp:extent cx="5731510" cy="3592830"/>
            <wp:effectExtent l="0" t="0" r="0" b="0"/>
            <wp:docPr id="1036" name="shape1036"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noChangeAspect="1"/>
                    </pic:cNvPicPr>
                  </pic:nvPicPr>
                  <pic:blipFill>
                    <a:blip r:embed="rId12">
                      <a:extLst>
                        <a:ext uri="{28A0092B-C50C-407E-A947-70E740481C1C}">
                          <a14:useLocalDpi xmlns:a14="http://schemas.microsoft.com/office/drawing/2010/main" val="0"/>
                        </a:ext>
                      </a:extLst>
                    </a:blip>
                    <a:srcRect/>
                    <a:stretch>
                      <a:fillRect/>
                    </a:stretch>
                  </pic:blipFill>
                  <pic:spPr>
                    <a:xfrm>
                      <a:off x="0" y="0"/>
                      <a:ext cx="5731510" cy="3592830"/>
                    </a:xfrm>
                    <a:prstGeom prst="rect"/>
                  </pic:spPr>
                </pic:pic>
              </a:graphicData>
            </a:graphic>
          </wp:inline>
        </w:drawing>
      </w:r>
    </w:p>
    <w:p>
      <w:pPr>
        <w:tabs>
          <w:tab w:val="left" w:pos="2712"/>
        </w:tabs>
        <w:rPr>
          <w:lang w:eastAsia="ko-KR"/>
          <w:rFonts w:hint="eastAsia"/>
          <w:b/>
          <w:bCs/>
          <w:sz w:val="40"/>
          <w:szCs w:val="40"/>
          <w:rtl w:val="off"/>
        </w:rPr>
      </w:pPr>
      <w:r>
        <w:rPr>
          <w:rFonts w:hint="eastAsia"/>
          <w:b/>
          <w:bCs/>
          <w:sz w:val="40"/>
          <w:szCs w:val="40"/>
        </w:rPr>
        <w:drawing>
          <wp:inline distT="0" distB="0" distL="180" distR="180">
            <wp:extent cx="5731510" cy="4203065"/>
            <wp:effectExtent l="0" t="0" r="0" b="0"/>
            <wp:docPr id="1037" name="shape1037"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noChangeAspect="1"/>
                    </pic:cNvPicPr>
                  </pic:nvPicPr>
                  <pic:blipFill>
                    <a:blip r:embed="rId13">
                      <a:extLst>
                        <a:ext uri="{28A0092B-C50C-407E-A947-70E740481C1C}">
                          <a14:useLocalDpi xmlns:a14="http://schemas.microsoft.com/office/drawing/2010/main" val="0"/>
                        </a:ext>
                      </a:extLst>
                    </a:blip>
                    <a:srcRect/>
                    <a:stretch>
                      <a:fillRect/>
                    </a:stretch>
                  </pic:blipFill>
                  <pic:spPr>
                    <a:xfrm>
                      <a:off x="0" y="0"/>
                      <a:ext cx="5731510" cy="4203065"/>
                    </a:xfrm>
                    <a:prstGeom prst="rect"/>
                  </pic:spPr>
                </pic:pic>
              </a:graphicData>
            </a:graphic>
          </wp:inline>
        </w:drawing>
      </w:r>
      <w:r>
        <w:rPr>
          <w:rFonts w:hint="eastAsia"/>
          <w:b/>
          <w:bCs/>
          <w:sz w:val="40"/>
          <w:szCs w:val="40"/>
        </w:rPr>
        <w:drawing>
          <wp:inline distT="0" distB="0" distL="180" distR="180">
            <wp:extent cx="5731510" cy="4176395"/>
            <wp:effectExtent l="0" t="0" r="0" b="0"/>
            <wp:docPr id="1038" name="shape1038"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noChangeAspect="1"/>
                    </pic:cNvPicPr>
                  </pic:nvPicPr>
                  <pic:blipFill>
                    <a:blip r:embed="rId14">
                      <a:extLst>
                        <a:ext uri="{28A0092B-C50C-407E-A947-70E740481C1C}">
                          <a14:useLocalDpi xmlns:a14="http://schemas.microsoft.com/office/drawing/2010/main" val="0"/>
                        </a:ext>
                      </a:extLst>
                    </a:blip>
                    <a:srcRect/>
                    <a:stretch>
                      <a:fillRect/>
                    </a:stretch>
                  </pic:blipFill>
                  <pic:spPr>
                    <a:xfrm>
                      <a:off x="0" y="0"/>
                      <a:ext cx="5731510" cy="4176395"/>
                    </a:xfrm>
                    <a:prstGeom prst="rect"/>
                  </pic:spPr>
                </pic:pic>
              </a:graphicData>
            </a:graphic>
          </wp:inline>
        </w:drawing>
      </w:r>
    </w:p>
    <w:p>
      <w:pPr>
        <w:tabs>
          <w:tab w:val="left" w:pos="2712"/>
        </w:tabs>
        <w:rPr>
          <w:lang w:eastAsia="ko-KR"/>
          <w:rFonts w:hint="eastAsia"/>
          <w:b/>
          <w:bCs/>
          <w:sz w:val="40"/>
          <w:szCs w:val="40"/>
          <w:rtl w:val="off"/>
        </w:rPr>
      </w:pPr>
      <w:r>
        <w:rPr>
          <w:rFonts w:hint="eastAsia"/>
          <w:b/>
          <w:bCs/>
          <w:sz w:val="40"/>
          <w:szCs w:val="40"/>
        </w:rPr>
        <w:drawing>
          <wp:inline distT="0" distB="0" distL="180" distR="180">
            <wp:extent cx="5731510" cy="4222750"/>
            <wp:effectExtent l="0" t="0" r="0" b="0"/>
            <wp:docPr id="1039" name="shape1039"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noChangeAspect="1"/>
                    </pic:cNvPicPr>
                  </pic:nvPicPr>
                  <pic:blipFill>
                    <a:blip r:embed="rId15">
                      <a:extLst>
                        <a:ext uri="{28A0092B-C50C-407E-A947-70E740481C1C}">
                          <a14:useLocalDpi xmlns:a14="http://schemas.microsoft.com/office/drawing/2010/main" val="0"/>
                        </a:ext>
                      </a:extLst>
                    </a:blip>
                    <a:srcRect/>
                    <a:stretch>
                      <a:fillRect/>
                    </a:stretch>
                  </pic:blipFill>
                  <pic:spPr>
                    <a:xfrm>
                      <a:off x="0" y="0"/>
                      <a:ext cx="5731510" cy="4222750"/>
                    </a:xfrm>
                    <a:prstGeom prst="rect"/>
                  </pic:spPr>
                </pic:pic>
              </a:graphicData>
            </a:graphic>
          </wp:inline>
        </w:drawing>
      </w:r>
    </w:p>
    <w:p>
      <w:pPr>
        <w:tabs>
          <w:tab w:val="left" w:pos="2712"/>
        </w:tabs>
        <w:rPr>
          <w:lang w:eastAsia="ko-KR"/>
          <w:rFonts w:hint="eastAsia"/>
          <w:b/>
          <w:bCs/>
          <w:sz w:val="40"/>
          <w:szCs w:val="40"/>
          <w:rtl w:val="off"/>
        </w:rPr>
      </w:pPr>
      <w:r>
        <w:rPr>
          <w:lang w:eastAsia="ko-KR"/>
          <w:rFonts w:hint="eastAsia"/>
          <w:b/>
          <w:bCs/>
          <w:sz w:val="40"/>
          <w:szCs w:val="40"/>
          <w:rtl w:val="off"/>
        </w:rPr>
        <w:t>총평- 맘에 든다.</w:t>
      </w:r>
    </w:p>
    <w:p>
      <w:pPr>
        <w:tabs>
          <w:tab w:val="left" w:pos="2712"/>
        </w:tabs>
        <w:rPr>
          <w:lang w:eastAsia="ko-KR"/>
          <w:rFonts w:hint="eastAsia"/>
          <w:b/>
          <w:bCs/>
          <w:sz w:val="40"/>
          <w:szCs w:val="40"/>
          <w:rtl w:val="off"/>
        </w:rPr>
      </w:pPr>
    </w:p>
    <w:p>
      <w:pPr>
        <w:tabs>
          <w:tab w:val="left" w:pos="2712"/>
        </w:tabs>
        <w:rPr>
          <w:lang w:eastAsia="ko-KR"/>
          <w:rFonts w:hint="eastAsia"/>
          <w:b/>
          <w:bCs/>
          <w:sz w:val="40"/>
          <w:szCs w:val="40"/>
          <w:rtl w:val="off"/>
        </w:rPr>
      </w:pPr>
      <w:r>
        <w:rPr>
          <w:lang w:eastAsia="ko-KR"/>
          <w:rFonts w:hint="eastAsia"/>
          <w:b/>
          <w:bCs/>
          <w:sz w:val="40"/>
          <w:szCs w:val="40"/>
          <w:rtl w:val="off"/>
        </w:rPr>
        <w:t>6. 신입공고 찾아보기</w:t>
      </w:r>
    </w:p>
    <w:p>
      <w:pPr>
        <w:rPr/>
      </w:pPr>
      <w:r>
        <w:rPr/>
        <w:fldChar w:fldCharType="begin"/>
      </w:r>
      <w:r>
        <w:rPr/>
        <w:instrText xml:space="preserve"> HYPERLINK "https://www.hitachi.co.jp/recruit/newgraduate/recruit_info/guideline.html" </w:instrText>
      </w:r>
      <w:r>
        <w:rPr/>
        <w:fldChar w:fldCharType="separate"/>
      </w:r>
      <w:r>
        <w:rPr>
          <w:rStyle w:val="aa"/>
          <w:rFonts w:ascii="맑은 고딕" w:eastAsia="맑은 고딕" w:hAnsi="맑은 고딕" w:cs="Arial"/>
        </w:rPr>
        <w:t>히타치 채용 정보:채용 정보:히타치</w:t>
      </w:r>
      <w:r>
        <w:rPr/>
        <w:fldChar w:fldCharType="end"/>
      </w:r>
    </w:p>
    <w:p>
      <w:pPr>
        <w:tabs>
          <w:tab w:val="left" w:pos="2712"/>
        </w:tabs>
        <w:rPr>
          <w:rFonts w:hint="eastAsia"/>
          <w:b/>
          <w:bCs/>
          <w:sz w:val="40"/>
          <w:szCs w:val="40"/>
        </w:rPr>
      </w:pPr>
    </w:p>
    <w:sectPr>
      <w:pgSz w:w="11906" w:h="16838"/>
      <w:pgMar w:top="1701" w:right="1440" w:bottom="1440" w:left="1440" w:header="851" w:footer="992" w:gutter="0"/>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w:font w:name="맑은 고딕">
    <w:panose1 w:val="020B0503020000020004"/>
    <w:family w:val="Malgun Gothic"/>
    <w:charset w:val="00"/>
    <w:notTrueType w:val="false"/>
    <w:sig w:usb0="9000002F" w:usb1="29D77CFB" w:usb2="00000012" w:usb3="00000001" w:csb0="00080001" w:csb1="00000001"/>
  </w:font>
  <w:font w:name="Arial">
    <w:panose1 w:val="020B0604020202020204"/>
    <w:notTrueType w:val="false"/>
    <w:sig w:usb0="E0002EFF" w:usb1="C000785B" w:usb2="00000009" w:usb3="00000001" w:csb0="400001FF" w:csb1="FFFF0000"/>
  </w:font>
  <w:font w:name="Wingdings">
    <w:panose1 w:val="05000000000000000000"/>
    <w:family w:val="Wingdings"/>
    <w:charset w:val="00"/>
    <w:notTrueType w:val="false"/>
    <w:sig w:usb0="00000001" w:usb1="00000001" w:usb2="00000001" w:usb3="00000001" w:csb0="80000000" w:csb1="00000001"/>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14="http://schemas.microsoft.com/office/word/2010/wordml" xmlns:wne="http://schemas.microsoft.com/office/word/2006/wordml">
  <w:abstractNum w:abstractNumId="0">
    <w:nsid w:val="7b4845ce"/>
    <w:multiLevelType w:val="hybridMultilevel"/>
    <w:tmpl w:val="3a924a08"/>
    <w:lvl w:ilvl="0" w:tplc="ccf45be0">
      <w:start w:val="1"/>
      <w:numFmt w:val="bullet"/>
      <w:lvlText w:val="-"/>
      <w:lvlJc w:val="left"/>
      <w:pPr>
        <w:ind w:left="800" w:hanging="360"/>
      </w:pPr>
      <w:rPr>
        <w:rFonts w:ascii="맑은 고딕" w:eastAsia="맑은 고딕" w:hAnsi="맑은 고딕" w:hint="eastAsia"/>
      </w:rPr>
    </w:lvl>
    <w:lvl w:ilvl="1" w:tplc="4090003">
      <w:start w:val="1"/>
      <w:numFmt w:val="bullet"/>
      <w:lvlText w:val=""/>
      <w:lvlJc w:val="left"/>
      <w:pPr>
        <w:ind w:left="1320" w:hanging="440"/>
      </w:pPr>
      <w:rPr>
        <w:rFonts w:ascii="Wingdings" w:hAnsi="Wingdings" w:hint="default"/>
      </w:rPr>
    </w:lvl>
    <w:lvl w:ilvl="2" w:tplc="4090005">
      <w:start w:val="1"/>
      <w:numFmt w:val="bullet"/>
      <w:lvlText w:val=""/>
      <w:lvlJc w:val="left"/>
      <w:pPr>
        <w:ind w:left="1760" w:hanging="440"/>
      </w:pPr>
      <w:rPr>
        <w:rFonts w:ascii="Wingdings" w:hAnsi="Wingdings" w:hint="default"/>
      </w:rPr>
    </w:lvl>
    <w:lvl w:ilvl="3" w:tplc="4090001">
      <w:start w:val="1"/>
      <w:numFmt w:val="bullet"/>
      <w:lvlText w:val=""/>
      <w:lvlJc w:val="left"/>
      <w:pPr>
        <w:ind w:left="2200" w:hanging="440"/>
      </w:pPr>
      <w:rPr>
        <w:rFonts w:ascii="Wingdings" w:hAnsi="Wingdings" w:hint="default"/>
      </w:rPr>
    </w:lvl>
    <w:lvl w:ilvl="4" w:tentative="on" w:tplc="4090003">
      <w:start w:val="1"/>
      <w:numFmt w:val="bullet"/>
      <w:lvlText w:val=""/>
      <w:lvlJc w:val="left"/>
      <w:pPr>
        <w:ind w:left="2640" w:hanging="440"/>
      </w:pPr>
      <w:rPr>
        <w:rFonts w:ascii="Wingdings" w:hAnsi="Wingdings" w:hint="default"/>
      </w:rPr>
    </w:lvl>
    <w:lvl w:ilvl="5" w:tentative="on" w:tplc="4090005">
      <w:start w:val="1"/>
      <w:numFmt w:val="bullet"/>
      <w:lvlText w:val=""/>
      <w:lvlJc w:val="left"/>
      <w:pPr>
        <w:ind w:left="3080" w:hanging="440"/>
      </w:pPr>
      <w:rPr>
        <w:rFonts w:ascii="Wingdings" w:hAnsi="Wingdings" w:hint="default"/>
      </w:rPr>
    </w:lvl>
    <w:lvl w:ilvl="6" w:tentative="on" w:tplc="4090001">
      <w:start w:val="1"/>
      <w:numFmt w:val="bullet"/>
      <w:lvlText w:val=""/>
      <w:lvlJc w:val="left"/>
      <w:pPr>
        <w:ind w:left="3520" w:hanging="440"/>
      </w:pPr>
      <w:rPr>
        <w:rFonts w:ascii="Wingdings" w:hAnsi="Wingdings" w:hint="default"/>
      </w:rPr>
    </w:lvl>
    <w:lvl w:ilvl="7" w:tentative="on" w:tplc="4090003">
      <w:start w:val="1"/>
      <w:numFmt w:val="bullet"/>
      <w:lvlText w:val=""/>
      <w:lvlJc w:val="left"/>
      <w:pPr>
        <w:ind w:left="3960" w:hanging="440"/>
      </w:pPr>
      <w:rPr>
        <w:rFonts w:ascii="Wingdings" w:hAnsi="Wingdings" w:hint="default"/>
      </w:rPr>
    </w:lvl>
    <w:lvl w:ilvl="8" w:tentative="on" w:tplc="4090005">
      <w:start w:val="1"/>
      <w:numFmt w:val="bullet"/>
      <w:lvlText w:val=""/>
      <w:lvlJc w:val="left"/>
      <w:pPr>
        <w:ind w:left="4400" w:hanging="44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w:zoom w:percent="100"/>
  <w:removePersonalInformation/>
  <w:bordersDontSurroundHeader/>
  <w:bordersDontSurroundFooter/>
  <w:hideGrammaticalErrors/>
  <w:proofState w:spelling="clean" w:grammar="clean"/>
  <w:defaultTabStop w:val="800"/>
  <w:hyphenationZone w:val="360"/>
  <w:stylePaneFormatFilter w:val="4024" w:allStyles="0" w:customStyles="0" w:latentStyles="1" w:stylesInUse="0" w:headingStyles="1" w:numberingStyles="0" w:tableStyles="0" w:directFormattingOnRuns="0" w:directFormattingOnParagraphs="0" w:directFormattingOnNumbering="0" w:directFormattingOnTables="0" w:clearFormatting="0" w:top3HeadingStyles="0" w:visibleStyles="1" w:alternateStyleNames="0"/>
  <w:drawingGridHorizontalSpacing w:val="180"/>
  <w:drawingGridVerticalSpacing w:val="180"/>
  <w:displayHorizontalDrawingGridEvery w:val="1"/>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val="1"/>
    <m:lMargin m:val="0"/>
    <m:rMargin m:val="0"/>
    <m:defJc m:val="centerGroup"/>
    <m:wrapIndent m:val="1440"/>
    <m:wrapRight m:val="0"/>
    <m:intLim m:val="subSup"/>
    <m:naryLim m:val="undOvr"/>
    <m:interSp m:val="0"/>
    <m:intraSp m:val="0"/>
    <m:preSp m:val="0"/>
    <m:postSp m:val="0"/>
  </m:mathPr>
  <w:themeFontLang w:val="en-US" w:eastAsia="ko-KR" w:bidi="ar-SA"/>
</w:settings>
</file>

<file path=word/styles.xml><?xml version="1.0" encoding="utf-8"?>
<w:styles xmlns:r="http://schemas.openxmlformats.org/officeDocument/2006/relationships" xmlns:w="http://schemas.openxmlformats.org/wordprocessingml/2006/main">
  <w:docDefaults>
    <w:rPrDefault>
      <w:rPr>
        <w:lang w:val="en-US" w:eastAsia="ko-KR" w:bidi="ar-SA"/>
        <w:rFonts w:asciiTheme="minorEastAsia" w:eastAsiaTheme="minorEastAsia" w:hAnsiTheme="minorHAnsi" w:cstheme="minorBidi"/>
        <w:sz w:val="22"/>
        <w:szCs w:val="24"/>
        <w:kern w:val="2"/>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87" w:unhideWhenUsed="1"/>
    <w:lsdException w:name="toc 2" w:semiHidden="1" w:uiPriority="87" w:unhideWhenUsed="1"/>
    <w:lsdException w:name="toc 3" w:semiHidden="1" w:uiPriority="87" w:unhideWhenUsed="1"/>
    <w:lsdException w:name="toc 4" w:semiHidden="1" w:uiPriority="87" w:unhideWhenUsed="1"/>
    <w:lsdException w:name="toc 5" w:semiHidden="1" w:uiPriority="87" w:unhideWhenUsed="1"/>
    <w:lsdException w:name="toc 6" w:semiHidden="1" w:uiPriority="87" w:unhideWhenUsed="1"/>
    <w:lsdException w:name="toc 7" w:semiHidden="1" w:uiPriority="87" w:unhideWhenUsed="1"/>
    <w:lsdException w:name="toc 8" w:semiHidden="1" w:uiPriority="87" w:unhideWhenUsed="1"/>
    <w:lsdException w:name="toc 9" w:semiHidden="1" w:uiPriority="87"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83"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52" w:qFormat="1"/>
    <w:lsdException w:name="Emphasis" w:uiPriority="5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87"/>
    <w:lsdException w:name="Table Theme" w:semiHidden="1" w:unhideWhenUsed="1"/>
    <w:lsdException w:name="Placeholder Text" w:semiHidden="1"/>
    <w:lsdException w:name="No Spacing" w:uiPriority="1" w:qFormat="1"/>
    <w:lsdException w:name="Light Shading" w:uiPriority="150"/>
    <w:lsdException w:name="Light List" w:uiPriority="151"/>
    <w:lsdException w:name="Light Grid" w:uiPriority="152"/>
    <w:lsdException w:name="Medium Shading 1" w:uiPriority="153"/>
    <w:lsdException w:name="Medium Shading 2" w:uiPriority="256"/>
    <w:lsdException w:name="Medium List 1" w:uiPriority="257"/>
    <w:lsdException w:name="Medium List 2" w:uiPriority="258"/>
    <w:lsdException w:name="Medium Grid 1" w:uiPriority="259"/>
    <w:lsdException w:name="Medium Grid 2" w:uiPriority="260"/>
    <w:lsdException w:name="Medium Grid 3" w:uiPriority="261"/>
    <w:lsdException w:name="Dark List" w:uiPriority="274"/>
    <w:lsdException w:name="Colorful Shading" w:uiPriority="275"/>
    <w:lsdException w:name="Colorful List" w:uiPriority="276"/>
    <w:lsdException w:name="Colorful Grid" w:uiPriority="277"/>
    <w:lsdException w:name="Light Shading Accent 1" w:uiPriority="150"/>
    <w:lsdException w:name="Light List Accent 1" w:uiPriority="151"/>
    <w:lsdException w:name="Light Grid Accent 1" w:uiPriority="152"/>
    <w:lsdException w:name="Medium Shading 1 Accent 1" w:uiPriority="153"/>
    <w:lsdException w:name="Medium Shading 2 Accent 1" w:uiPriority="256"/>
    <w:lsdException w:name="Medium List 1 Accent 1" w:uiPriority="257"/>
    <w:lsdException w:name="Revision" w:semiHidden="1"/>
    <w:lsdException w:name="List Paragraph" w:uiPriority="82" w:qFormat="1"/>
    <w:lsdException w:name="Quote" w:uiPriority="65" w:qFormat="1"/>
    <w:lsdException w:name="Intense Quote" w:uiPriority="72" w:qFormat="1"/>
    <w:lsdException w:name="Medium List 2 Accent 1" w:uiPriority="258"/>
    <w:lsdException w:name="Medium Grid 1 Accent 1" w:uiPriority="259"/>
    <w:lsdException w:name="Medium Grid 2 Accent 1" w:uiPriority="260"/>
    <w:lsdException w:name="Medium Grid 3 Accent 1" w:uiPriority="261"/>
    <w:lsdException w:name="Dark List Accent 1" w:uiPriority="274"/>
    <w:lsdException w:name="Colorful Shading Accent 1" w:uiPriority="275"/>
    <w:lsdException w:name="Colorful List Accent 1" w:uiPriority="276"/>
    <w:lsdException w:name="Colorful Grid Accent 1" w:uiPriority="277"/>
    <w:lsdException w:name="Light Shading Accent 2" w:uiPriority="150"/>
    <w:lsdException w:name="Light List Accent 2" w:uiPriority="151"/>
    <w:lsdException w:name="Light Grid Accent 2" w:uiPriority="152"/>
    <w:lsdException w:name="Medium Shading 1 Accent 2" w:uiPriority="153"/>
    <w:lsdException w:name="Medium Shading 2 Accent 2" w:uiPriority="256"/>
    <w:lsdException w:name="Medium List 1 Accent 2" w:uiPriority="257"/>
    <w:lsdException w:name="Medium List 2 Accent 2" w:uiPriority="258"/>
    <w:lsdException w:name="Medium Grid 1 Accent 2" w:uiPriority="259"/>
    <w:lsdException w:name="Medium Grid 2 Accent 2" w:uiPriority="260"/>
    <w:lsdException w:name="Medium Grid 3 Accent 2" w:uiPriority="261"/>
    <w:lsdException w:name="Dark List Accent 2" w:uiPriority="274"/>
    <w:lsdException w:name="Colorful Shading Accent 2" w:uiPriority="275"/>
    <w:lsdException w:name="Colorful List Accent 2" w:uiPriority="276"/>
    <w:lsdException w:name="Colorful Grid Accent 2" w:uiPriority="277"/>
    <w:lsdException w:name="Light Shading Accent 3" w:uiPriority="150"/>
    <w:lsdException w:name="Light List Accent 3" w:uiPriority="151"/>
    <w:lsdException w:name="Light Grid Accent 3" w:uiPriority="152"/>
    <w:lsdException w:name="Medium Shading 1 Accent 3" w:uiPriority="153"/>
    <w:lsdException w:name="Medium Shading 2 Accent 3" w:uiPriority="256"/>
    <w:lsdException w:name="Medium List 1 Accent 3" w:uiPriority="257"/>
    <w:lsdException w:name="Medium List 2 Accent 3" w:uiPriority="258"/>
    <w:lsdException w:name="Medium Grid 1 Accent 3" w:uiPriority="259"/>
    <w:lsdException w:name="Medium Grid 2 Accent 3" w:uiPriority="260"/>
    <w:lsdException w:name="Medium Grid 3 Accent 3" w:uiPriority="261"/>
    <w:lsdException w:name="Dark List Accent 3" w:uiPriority="274"/>
    <w:lsdException w:name="Colorful Shading Accent 3" w:uiPriority="275"/>
    <w:lsdException w:name="Colorful List Accent 3" w:uiPriority="276"/>
    <w:lsdException w:name="Colorful Grid Accent 3" w:uiPriority="277"/>
    <w:lsdException w:name="Light Shading Accent 4" w:uiPriority="150"/>
    <w:lsdException w:name="Light List Accent 4" w:uiPriority="151"/>
    <w:lsdException w:name="Light Grid Accent 4" w:uiPriority="152"/>
    <w:lsdException w:name="Medium Shading 1 Accent 4" w:uiPriority="153"/>
    <w:lsdException w:name="Medium Shading 2 Accent 4" w:uiPriority="256"/>
    <w:lsdException w:name="Medium List 1 Accent 4" w:uiPriority="257"/>
    <w:lsdException w:name="Medium List 2 Accent 4" w:uiPriority="258"/>
    <w:lsdException w:name="Medium Grid 1 Accent 4" w:uiPriority="259"/>
    <w:lsdException w:name="Medium Grid 2 Accent 4" w:uiPriority="260"/>
    <w:lsdException w:name="Medium Grid 3 Accent 4" w:uiPriority="261"/>
    <w:lsdException w:name="Dark List Accent 4" w:uiPriority="274"/>
    <w:lsdException w:name="Colorful Shading Accent 4" w:uiPriority="275"/>
    <w:lsdException w:name="Colorful List Accent 4" w:uiPriority="276"/>
    <w:lsdException w:name="Colorful Grid Accent 4" w:uiPriority="277"/>
    <w:lsdException w:name="Light Shading Accent 5" w:uiPriority="150"/>
    <w:lsdException w:name="Light List Accent 5" w:uiPriority="151"/>
    <w:lsdException w:name="Light Grid Accent 5" w:uiPriority="152"/>
    <w:lsdException w:name="Medium Shading 1 Accent 5" w:uiPriority="153"/>
    <w:lsdException w:name="Medium Shading 2 Accent 5" w:uiPriority="256"/>
    <w:lsdException w:name="Medium List 1 Accent 5" w:uiPriority="257"/>
    <w:lsdException w:name="Medium List 2 Accent 5" w:uiPriority="258"/>
    <w:lsdException w:name="Medium Grid 1 Accent 5" w:uiPriority="259"/>
    <w:lsdException w:name="Medium Grid 2 Accent 5" w:uiPriority="260"/>
    <w:lsdException w:name="Medium Grid 3 Accent 5" w:uiPriority="261"/>
    <w:lsdException w:name="Dark List Accent 5" w:uiPriority="274"/>
    <w:lsdException w:name="Colorful Shading Accent 5" w:uiPriority="275"/>
    <w:lsdException w:name="Colorful List Accent 5" w:uiPriority="276"/>
    <w:lsdException w:name="Colorful Grid Accent 5" w:uiPriority="277"/>
    <w:lsdException w:name="Light Shading Accent 6" w:uiPriority="150"/>
    <w:lsdException w:name="Light List Accent 6" w:uiPriority="151"/>
    <w:lsdException w:name="Light Grid Accent 6" w:uiPriority="152"/>
    <w:lsdException w:name="Medium Shading 1 Accent 6" w:uiPriority="153"/>
    <w:lsdException w:name="Medium Shading 2 Accent 6" w:uiPriority="256"/>
    <w:lsdException w:name="Medium List 1 Accent 6" w:uiPriority="257"/>
    <w:lsdException w:name="Medium List 2 Accent 6" w:uiPriority="258"/>
    <w:lsdException w:name="Medium Grid 1 Accent 6" w:uiPriority="259"/>
    <w:lsdException w:name="Medium Grid 2 Accent 6" w:uiPriority="260"/>
    <w:lsdException w:name="Medium Grid 3 Accent 6" w:uiPriority="261"/>
    <w:lsdException w:name="Dark List Accent 6" w:uiPriority="274"/>
    <w:lsdException w:name="Colorful Shading Accent 6" w:uiPriority="275"/>
    <w:lsdException w:name="Colorful List Accent 6" w:uiPriority="276"/>
    <w:lsdException w:name="Colorful Grid Accent 6" w:uiPriority="277"/>
    <w:lsdException w:name="Subtle Emphasis" w:uiPriority="37" w:qFormat="1"/>
    <w:lsdException w:name="Intense Emphasis" w:uiPriority="51" w:qFormat="1"/>
    <w:lsdException w:name="Subtle Reference" w:uiPriority="73" w:qFormat="1"/>
    <w:lsdException w:name="Intense Reference" w:uiPriority="80" w:qFormat="1"/>
    <w:lsdException w:name="Book Title" w:uiPriority="81" w:qFormat="1"/>
    <w:lsdException w:name="Bibliography" w:semiHidden="1" w:uiPriority="85" w:unhideWhenUsed="1"/>
    <w:lsdException w:name="TOC Heading" w:semiHidden="1" w:uiPriority="87" w:unhideWhenUsed="1" w:qFormat="1"/>
    <w:lsdException w:name="Plain Table 1" w:uiPriority="101"/>
    <w:lsdException w:name="Plain Table 2" w:uiPriority="102"/>
    <w:lsdException w:name="Plain Table 3" w:uiPriority="103"/>
    <w:lsdException w:name="Plain Table 4" w:uiPriority="104"/>
    <w:lsdException w:name="Plain Table 5" w:uiPriority="105"/>
    <w:lsdException w:name="Grid Table Light" w:uiPriority="100"/>
    <w:lsdException w:name="Grid Table 1 Light" w:uiPriority="112"/>
    <w:lsdException w:name="Grid Table 2" w:uiPriority="113"/>
    <w:lsdException w:name="Grid Table 3" w:uiPriority="114"/>
    <w:lsdException w:name="Grid Table 4" w:uiPriority="115"/>
    <w:lsdException w:name="Grid Table 5 Dark" w:uiPriority="128"/>
    <w:lsdException w:name="Grid Table 6 Colorful" w:uiPriority="129"/>
    <w:lsdException w:name="Grid Table 7 Colorful" w:uiPriority="130"/>
    <w:lsdException w:name="Grid Table 1 Light Accent 1" w:uiPriority="112"/>
    <w:lsdException w:name="Grid Table 2 Accent 1" w:uiPriority="113"/>
    <w:lsdException w:name="Grid Table 3 Accent 1" w:uiPriority="114"/>
    <w:lsdException w:name="Grid Table 4 Accent 1" w:uiPriority="115"/>
    <w:lsdException w:name="Grid Table 5 Dark Accent 1" w:uiPriority="128"/>
    <w:lsdException w:name="Grid Table 6 Colorful Accent 1" w:uiPriority="129"/>
    <w:lsdException w:name="Grid Table 7 Colorful Accent 1" w:uiPriority="130"/>
    <w:lsdException w:name="Grid Table 1 Light Accent 2" w:uiPriority="112"/>
    <w:lsdException w:name="Grid Table 2 Accent 2" w:uiPriority="113"/>
    <w:lsdException w:name="Grid Table 3 Accent 2" w:uiPriority="114"/>
    <w:lsdException w:name="Grid Table 4 Accent 2" w:uiPriority="115"/>
    <w:lsdException w:name="Grid Table 5 Dark Accent 2" w:uiPriority="128"/>
    <w:lsdException w:name="Grid Table 6 Colorful Accent 2" w:uiPriority="129"/>
    <w:lsdException w:name="Grid Table 7 Colorful Accent 2" w:uiPriority="130"/>
    <w:lsdException w:name="Grid Table 1 Light Accent 3" w:uiPriority="112"/>
    <w:lsdException w:name="Grid Table 2 Accent 3" w:uiPriority="113"/>
    <w:lsdException w:name="Grid Table 3 Accent 3" w:uiPriority="114"/>
    <w:lsdException w:name="Grid Table 4 Accent 3" w:uiPriority="115"/>
    <w:lsdException w:name="Grid Table 5 Dark Accent 3" w:uiPriority="128"/>
    <w:lsdException w:name="Grid Table 6 Colorful Accent 3" w:uiPriority="129"/>
    <w:lsdException w:name="Grid Table 7 Colorful Accent 3" w:uiPriority="130"/>
    <w:lsdException w:name="Grid Table 1 Light Accent 4" w:uiPriority="112"/>
    <w:lsdException w:name="Grid Table 2 Accent 4" w:uiPriority="113"/>
    <w:lsdException w:name="Grid Table 3 Accent 4" w:uiPriority="114"/>
    <w:lsdException w:name="Grid Table 4 Accent 4" w:uiPriority="115"/>
    <w:lsdException w:name="Grid Table 5 Dark Accent 4" w:uiPriority="128"/>
    <w:lsdException w:name="Grid Table 6 Colorful Accent 4" w:uiPriority="129"/>
    <w:lsdException w:name="Grid Table 7 Colorful Accent 4" w:uiPriority="130"/>
    <w:lsdException w:name="Grid Table 1 Light Accent 5" w:uiPriority="112"/>
    <w:lsdException w:name="Grid Table 2 Accent 5" w:uiPriority="113"/>
    <w:lsdException w:name="Grid Table 3 Accent 5" w:uiPriority="114"/>
    <w:lsdException w:name="Grid Table 4 Accent 5" w:uiPriority="115"/>
    <w:lsdException w:name="Grid Table 5 Dark Accent 5" w:uiPriority="128"/>
    <w:lsdException w:name="Grid Table 6 Colorful Accent 5" w:uiPriority="129"/>
    <w:lsdException w:name="Grid Table 7 Colorful Accent 5" w:uiPriority="130"/>
    <w:lsdException w:name="Grid Table 1 Light Accent 6" w:uiPriority="112"/>
    <w:lsdException w:name="Grid Table 2 Accent 6" w:uiPriority="113"/>
    <w:lsdException w:name="Grid Table 3 Accent 6" w:uiPriority="114"/>
    <w:lsdException w:name="Grid Table 4 Accent 6" w:uiPriority="115"/>
    <w:lsdException w:name="Grid Table 5 Dark Accent 6" w:uiPriority="128"/>
    <w:lsdException w:name="Grid Table 6 Colorful Accent 6" w:uiPriority="129"/>
    <w:lsdException w:name="Grid Table 7 Colorful Accent 6" w:uiPriority="130"/>
    <w:lsdException w:name="List Table 1 Light" w:uiPriority="112"/>
    <w:lsdException w:name="List Table 2" w:uiPriority="113"/>
    <w:lsdException w:name="List Table 3" w:uiPriority="114"/>
    <w:lsdException w:name="List Table 4" w:uiPriority="115"/>
    <w:lsdException w:name="List Table 5 Dark" w:uiPriority="128"/>
    <w:lsdException w:name="List Table 6 Colorful" w:uiPriority="129"/>
    <w:lsdException w:name="List Table 7 Colorful" w:uiPriority="130"/>
    <w:lsdException w:name="List Table 1 Light Accent 1" w:uiPriority="112"/>
    <w:lsdException w:name="List Table 2 Accent 1" w:uiPriority="113"/>
    <w:lsdException w:name="List Table 3 Accent 1" w:uiPriority="114"/>
    <w:lsdException w:name="List Table 4 Accent 1" w:uiPriority="115"/>
    <w:lsdException w:name="List Table 5 Dark Accent 1" w:uiPriority="128"/>
    <w:lsdException w:name="List Table 6 Colorful Accent 1" w:uiPriority="129"/>
    <w:lsdException w:name="List Table 7 Colorful Accent 1" w:uiPriority="130"/>
    <w:lsdException w:name="List Table 1 Light Accent 2" w:uiPriority="112"/>
    <w:lsdException w:name="List Table 2 Accent 2" w:uiPriority="113"/>
    <w:lsdException w:name="List Table 3 Accent 2" w:uiPriority="114"/>
    <w:lsdException w:name="List Table 4 Accent 2" w:uiPriority="115"/>
    <w:lsdException w:name="List Table 5 Dark Accent 2" w:uiPriority="128"/>
    <w:lsdException w:name="List Table 6 Colorful Accent 2" w:uiPriority="129"/>
    <w:lsdException w:name="List Table 7 Colorful Accent 2" w:uiPriority="130"/>
    <w:lsdException w:name="List Table 1 Light Accent 3" w:uiPriority="112"/>
    <w:lsdException w:name="List Table 2 Accent 3" w:uiPriority="113"/>
    <w:lsdException w:name="List Table 3 Accent 3" w:uiPriority="114"/>
    <w:lsdException w:name="List Table 4 Accent 3" w:uiPriority="115"/>
    <w:lsdException w:name="List Table 5 Dark Accent 3" w:uiPriority="128"/>
    <w:lsdException w:name="List Table 6 Colorful Accent 3" w:uiPriority="129"/>
    <w:lsdException w:name="List Table 7 Colorful Accent 3" w:uiPriority="130"/>
    <w:lsdException w:name="List Table 1 Light Accent 4" w:uiPriority="112"/>
    <w:lsdException w:name="List Table 2 Accent 4" w:uiPriority="113"/>
    <w:lsdException w:name="List Table 3 Accent 4" w:uiPriority="114"/>
    <w:lsdException w:name="List Table 4 Accent 4" w:uiPriority="115"/>
    <w:lsdException w:name="List Table 5 Dark Accent 4" w:uiPriority="128"/>
    <w:lsdException w:name="List Table 6 Colorful Accent 4" w:uiPriority="129"/>
    <w:lsdException w:name="List Table 7 Colorful Accent 4" w:uiPriority="130"/>
    <w:lsdException w:name="List Table 1 Light Accent 5" w:uiPriority="112"/>
    <w:lsdException w:name="List Table 2 Accent 5" w:uiPriority="113"/>
    <w:lsdException w:name="List Table 3 Accent 5" w:uiPriority="114"/>
    <w:lsdException w:name="List Table 4 Accent 5" w:uiPriority="115"/>
    <w:lsdException w:name="List Table 5 Dark Accent 5" w:uiPriority="128"/>
    <w:lsdException w:name="List Table 6 Colorful Accent 5" w:uiPriority="129"/>
    <w:lsdException w:name="List Table 7 Colorful Accent 5" w:uiPriority="130"/>
    <w:lsdException w:name="List Table 1 Light Accent 6" w:uiPriority="112"/>
    <w:lsdException w:name="List Table 2 Accent 6" w:uiPriority="113"/>
    <w:lsdException w:name="List Table 3 Accent 6" w:uiPriority="114"/>
    <w:lsdException w:name="List Table 4 Accent 6" w:uiPriority="115"/>
    <w:lsdException w:name="List Table 5 Dark Accent 6" w:uiPriority="128"/>
    <w:lsdException w:name="List Table 6 Colorful Accent 6" w:uiPriority="129"/>
    <w:lsdException w:name="List Table 7 Colorful Accent 6" w:uiPriority="130"/>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autoSpaceDE w:val="off"/>
      <w:autoSpaceDN w:val="off"/>
      <w:widowControl w:val="off"/>
      <w:wordWrap w:val="off"/>
    </w:pPr>
  </w:style>
  <w:style w:type="paragraph" w:styleId="1">
    <w:name w:val="heading 1"/>
    <w:uiPriority w:val="9"/>
    <w:basedOn w:val="a"/>
    <w:next w:val="a"/>
    <w:link w:val="1Char"/>
    <w:qFormat/>
    <w:pPr>
      <w:keepNext/>
      <w:keepLines/>
      <w:outlineLvl w:val="0"/>
      <w:spacing w:after="80" w:before="280"/>
    </w:pPr>
    <w:rPr>
      <w:rFonts w:asciiTheme="majorHAnsi" w:eastAsiaTheme="majorEastAsia" w:hAnsiTheme="majorHAnsi" w:cstheme="majorBidi"/>
      <w:color w:val="000000"/>
      <w:sz w:val="32"/>
      <w:szCs w:val="32"/>
    </w:rPr>
  </w:style>
  <w:style w:type="paragraph" w:styleId="2">
    <w:name w:val="heading 2"/>
    <w:uiPriority w:val="9"/>
    <w:basedOn w:val="a"/>
    <w:next w:val="a"/>
    <w:link w:val="2Char"/>
    <w:qFormat/>
    <w:semiHidden/>
    <w:unhideWhenUsed/>
    <w:pPr>
      <w:keepNext/>
      <w:keepLines/>
      <w:outlineLvl w:val="1"/>
      <w:spacing w:after="80" w:before="160"/>
    </w:pPr>
    <w:rPr>
      <w:rFonts w:asciiTheme="majorHAnsi" w:eastAsiaTheme="majorEastAsia" w:hAnsiTheme="majorHAnsi" w:cstheme="majorBidi"/>
      <w:color w:val="000000"/>
      <w:sz w:val="28"/>
      <w:szCs w:val="28"/>
    </w:rPr>
  </w:style>
  <w:style w:type="paragraph" w:styleId="3">
    <w:name w:val="heading 3"/>
    <w:uiPriority w:val="9"/>
    <w:basedOn w:val="a"/>
    <w:next w:val="a"/>
    <w:link w:val="3Char"/>
    <w:qFormat/>
    <w:semiHidden/>
    <w:unhideWhenUsed/>
    <w:pPr>
      <w:keepNext/>
      <w:keepLines/>
      <w:outlineLvl w:val="2"/>
      <w:spacing w:after="80" w:before="160"/>
    </w:pPr>
    <w:rPr>
      <w:rFonts w:asciiTheme="majorHAnsi" w:eastAsiaTheme="majorEastAsia" w:hAnsiTheme="majorHAnsi" w:cstheme="majorBidi"/>
      <w:color w:val="000000"/>
      <w:sz w:val="24"/>
    </w:rPr>
  </w:style>
  <w:style w:type="paragraph" w:styleId="4">
    <w:name w:val="heading 4"/>
    <w:uiPriority w:val="9"/>
    <w:basedOn w:val="a"/>
    <w:next w:val="a"/>
    <w:link w:val="4Char"/>
    <w:qFormat/>
    <w:semiHidden/>
    <w:unhideWhenUsed/>
    <w:pPr>
      <w:keepNext/>
      <w:keepLines/>
      <w:outlineLvl w:val="3"/>
      <w:spacing w:after="40" w:before="80"/>
    </w:pPr>
    <w:rPr>
      <w:rFonts w:asciiTheme="majorHAnsi" w:eastAsiaTheme="majorEastAsia" w:hAnsiTheme="majorHAnsi" w:cstheme="majorBidi"/>
      <w:color w:val="000000"/>
    </w:rPr>
  </w:style>
  <w:style w:type="paragraph" w:styleId="5">
    <w:name w:val="heading 5"/>
    <w:uiPriority w:val="9"/>
    <w:basedOn w:val="a"/>
    <w:next w:val="a"/>
    <w:link w:val="5Char"/>
    <w:qFormat/>
    <w:semiHidden/>
    <w:unhideWhenUsed/>
    <w:pPr>
      <w:ind w:leftChars="100" w:left="100"/>
      <w:keepNext/>
      <w:keepLines/>
      <w:outlineLvl w:val="4"/>
      <w:spacing w:after="40" w:before="80"/>
    </w:pPr>
    <w:rPr>
      <w:rFonts w:asciiTheme="majorHAnsi" w:eastAsiaTheme="majorEastAsia" w:hAnsiTheme="majorHAnsi" w:cstheme="majorBidi"/>
      <w:color w:val="000000"/>
    </w:rPr>
  </w:style>
  <w:style w:type="paragraph" w:styleId="6">
    <w:name w:val="heading 6"/>
    <w:uiPriority w:val="9"/>
    <w:basedOn w:val="a"/>
    <w:next w:val="a"/>
    <w:link w:val="6Char"/>
    <w:qFormat/>
    <w:semiHidden/>
    <w:unhideWhenUsed/>
    <w:pPr>
      <w:ind w:leftChars="200" w:left="200"/>
      <w:keepNext/>
      <w:keepLines/>
      <w:outlineLvl w:val="5"/>
      <w:spacing w:after="40" w:before="80"/>
    </w:pPr>
    <w:rPr>
      <w:rFonts w:asciiTheme="majorHAnsi" w:eastAsiaTheme="majorEastAsia" w:hAnsiTheme="majorHAnsi" w:cstheme="majorBidi"/>
      <w:color w:val="000000"/>
    </w:rPr>
  </w:style>
  <w:style w:type="paragraph" w:styleId="7">
    <w:name w:val="heading 7"/>
    <w:uiPriority w:val="9"/>
    <w:basedOn w:val="a"/>
    <w:next w:val="a"/>
    <w:link w:val="7Char"/>
    <w:qFormat/>
    <w:semiHidden/>
    <w:unhideWhenUsed/>
    <w:pPr>
      <w:ind w:leftChars="300" w:left="300"/>
      <w:keepNext/>
      <w:keepLines/>
      <w:outlineLvl w:val="6"/>
      <w:spacing w:after="40" w:before="80"/>
    </w:pPr>
    <w:rPr>
      <w:rFonts w:asciiTheme="majorHAnsi" w:eastAsiaTheme="majorEastAsia" w:hAnsiTheme="majorHAnsi" w:cstheme="majorBidi"/>
      <w:color w:val="000000"/>
    </w:rPr>
  </w:style>
  <w:style w:type="paragraph" w:styleId="8">
    <w:name w:val="heading 8"/>
    <w:uiPriority w:val="9"/>
    <w:basedOn w:val="a"/>
    <w:next w:val="a"/>
    <w:link w:val="8Char"/>
    <w:qFormat/>
    <w:semiHidden/>
    <w:unhideWhenUsed/>
    <w:pPr>
      <w:ind w:leftChars="400" w:left="400"/>
      <w:keepNext/>
      <w:keepLines/>
      <w:outlineLvl w:val="7"/>
      <w:spacing w:after="40" w:before="80"/>
    </w:pPr>
    <w:rPr>
      <w:rFonts w:asciiTheme="majorHAnsi" w:eastAsiaTheme="majorEastAsia" w:hAnsiTheme="majorHAnsi" w:cstheme="majorBidi"/>
      <w:color w:val="000000"/>
    </w:rPr>
  </w:style>
  <w:style w:type="paragraph" w:styleId="9">
    <w:name w:val="heading 9"/>
    <w:uiPriority w:val="9"/>
    <w:basedOn w:val="a"/>
    <w:next w:val="a"/>
    <w:link w:val="9Char"/>
    <w:qFormat/>
    <w:semiHidden/>
    <w:unhideWhenUsed/>
    <w:pPr>
      <w:ind w:leftChars="500" w:left="500"/>
      <w:keepNext/>
      <w:keepLines/>
      <w:outlineLvl w:val="8"/>
      <w:spacing w:after="40" w:before="80"/>
    </w:pPr>
    <w:rPr>
      <w:rFonts w:asciiTheme="majorHAnsi" w:eastAsiaTheme="majorEastAsia" w:hAnsiTheme="majorHAnsi" w:cstheme="majorBidi"/>
      <w:color w:val="00000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uiPriority w:val="9"/>
    <w:basedOn w:val="a0"/>
    <w:link w:val="1"/>
    <w:rPr>
      <w:rFonts w:asciiTheme="majorHAnsi" w:eastAsiaTheme="majorEastAsia" w:hAnsiTheme="majorHAnsi" w:cstheme="majorBidi"/>
      <w:color w:val="000000"/>
      <w:sz w:val="32"/>
      <w:szCs w:val="32"/>
    </w:rPr>
  </w:style>
  <w:style w:type="character" w:customStyle="1" w:styleId="2Char">
    <w:name w:val="제목 2 Char"/>
    <w:uiPriority w:val="9"/>
    <w:basedOn w:val="a0"/>
    <w:link w:val="2"/>
    <w:semiHidden/>
    <w:rPr>
      <w:rFonts w:asciiTheme="majorHAnsi" w:eastAsiaTheme="majorEastAsia" w:hAnsiTheme="majorHAnsi" w:cstheme="majorBidi"/>
      <w:color w:val="000000"/>
      <w:sz w:val="28"/>
      <w:szCs w:val="28"/>
    </w:rPr>
  </w:style>
  <w:style w:type="character" w:customStyle="1" w:styleId="3Char">
    <w:name w:val="제목 3 Char"/>
    <w:uiPriority w:val="9"/>
    <w:basedOn w:val="a0"/>
    <w:link w:val="3"/>
    <w:semiHidden/>
    <w:rPr>
      <w:rFonts w:asciiTheme="majorHAnsi" w:eastAsiaTheme="majorEastAsia" w:hAnsiTheme="majorHAnsi" w:cstheme="majorBidi"/>
      <w:color w:val="000000"/>
      <w:sz w:val="24"/>
    </w:rPr>
  </w:style>
  <w:style w:type="character" w:customStyle="1" w:styleId="4Char">
    <w:name w:val="제목 4 Char"/>
    <w:uiPriority w:val="9"/>
    <w:basedOn w:val="a0"/>
    <w:link w:val="4"/>
    <w:semiHidden/>
    <w:rPr>
      <w:rFonts w:asciiTheme="majorHAnsi" w:eastAsiaTheme="majorEastAsia" w:hAnsiTheme="majorHAnsi" w:cstheme="majorBidi"/>
      <w:color w:val="000000"/>
    </w:rPr>
  </w:style>
  <w:style w:type="character" w:customStyle="1" w:styleId="5Char">
    <w:name w:val="제목 5 Char"/>
    <w:uiPriority w:val="9"/>
    <w:basedOn w:val="a0"/>
    <w:link w:val="5"/>
    <w:semiHidden/>
    <w:rPr>
      <w:rFonts w:asciiTheme="majorHAnsi" w:eastAsiaTheme="majorEastAsia" w:hAnsiTheme="majorHAnsi" w:cstheme="majorBidi"/>
      <w:color w:val="000000"/>
    </w:rPr>
  </w:style>
  <w:style w:type="character" w:customStyle="1" w:styleId="6Char">
    <w:name w:val="제목 6 Char"/>
    <w:uiPriority w:val="9"/>
    <w:basedOn w:val="a0"/>
    <w:link w:val="6"/>
    <w:semiHidden/>
    <w:rPr>
      <w:rFonts w:asciiTheme="majorHAnsi" w:eastAsiaTheme="majorEastAsia" w:hAnsiTheme="majorHAnsi" w:cstheme="majorBidi"/>
      <w:color w:val="000000"/>
    </w:rPr>
  </w:style>
  <w:style w:type="character" w:customStyle="1" w:styleId="7Char">
    <w:name w:val="제목 7 Char"/>
    <w:uiPriority w:val="9"/>
    <w:basedOn w:val="a0"/>
    <w:link w:val="7"/>
    <w:semiHidden/>
    <w:rPr>
      <w:rFonts w:asciiTheme="majorHAnsi" w:eastAsiaTheme="majorEastAsia" w:hAnsiTheme="majorHAnsi" w:cstheme="majorBidi"/>
      <w:color w:val="000000"/>
    </w:rPr>
  </w:style>
  <w:style w:type="character" w:customStyle="1" w:styleId="8Char">
    <w:name w:val="제목 8 Char"/>
    <w:uiPriority w:val="9"/>
    <w:basedOn w:val="a0"/>
    <w:link w:val="8"/>
    <w:semiHidden/>
    <w:rPr>
      <w:rFonts w:asciiTheme="majorHAnsi" w:eastAsiaTheme="majorEastAsia" w:hAnsiTheme="majorHAnsi" w:cstheme="majorBidi"/>
      <w:color w:val="000000"/>
    </w:rPr>
  </w:style>
  <w:style w:type="character" w:customStyle="1" w:styleId="9Char">
    <w:name w:val="제목 9 Char"/>
    <w:uiPriority w:val="9"/>
    <w:basedOn w:val="a0"/>
    <w:link w:val="9"/>
    <w:semiHidden/>
    <w:rPr>
      <w:rFonts w:asciiTheme="majorHAnsi" w:eastAsiaTheme="majorEastAsia" w:hAnsiTheme="majorHAnsi" w:cstheme="majorBidi"/>
      <w:color w:val="000000"/>
    </w:rPr>
  </w:style>
  <w:style w:type="paragraph" w:styleId="a3">
    <w:name w:val="Title"/>
    <w:uiPriority w:val="10"/>
    <w:basedOn w:val="a"/>
    <w:next w:val="a"/>
    <w:link w:val="Char"/>
    <w:qFormat/>
    <w:pPr>
      <w:contextualSpacing/>
      <w:jc w:val="center"/>
      <w:spacing w:after="80"/>
    </w:pPr>
    <w:rPr>
      <w:rFonts w:asciiTheme="majorHAnsi" w:eastAsiaTheme="majorEastAsia" w:hAnsiTheme="majorHAnsi" w:cstheme="majorBidi"/>
      <w:sz w:val="56"/>
      <w:szCs w:val="56"/>
      <w:kern w:val="28"/>
      <w:spacing w:val="-10"/>
    </w:rPr>
  </w:style>
  <w:style w:type="character" w:customStyle="1" w:styleId="Char">
    <w:name w:val="제목 Char"/>
    <w:uiPriority w:val="10"/>
    <w:basedOn w:val="a0"/>
    <w:link w:val="a3"/>
    <w:rPr>
      <w:rFonts w:asciiTheme="majorHAnsi" w:eastAsiaTheme="majorEastAsia" w:hAnsiTheme="majorHAnsi" w:cstheme="majorBidi"/>
      <w:sz w:val="56"/>
      <w:szCs w:val="56"/>
      <w:kern w:val="28"/>
      <w:spacing w:val="-10"/>
    </w:rPr>
  </w:style>
  <w:style w:type="paragraph" w:styleId="a4">
    <w:name w:val="Subtitle"/>
    <w:uiPriority w:val="11"/>
    <w:basedOn w:val="a"/>
    <w:next w:val="a"/>
    <w:link w:val="Char0"/>
    <w:qFormat/>
    <w:pPr>
      <w:jc w:val="center"/>
      <w:numPr>
        <w:ilvl w:val="1"/>
      </w:numPr>
    </w:pPr>
    <w:rPr>
      <w:rFonts w:asciiTheme="majorHAnsi" w:eastAsiaTheme="majorEastAsia" w:hAnsiTheme="majorHAnsi" w:cstheme="majorBidi"/>
      <w:color w:val="595959"/>
      <w:sz w:val="28"/>
      <w:szCs w:val="28"/>
      <w:spacing w:val="15"/>
    </w:rPr>
  </w:style>
  <w:style w:type="character" w:customStyle="1" w:styleId="Char0">
    <w:name w:val="부제 Char"/>
    <w:uiPriority w:val="11"/>
    <w:basedOn w:val="a0"/>
    <w:link w:val="a4"/>
    <w:rPr>
      <w:rFonts w:asciiTheme="majorHAnsi" w:eastAsiaTheme="majorEastAsia" w:hAnsiTheme="majorHAnsi" w:cstheme="majorBidi"/>
      <w:color w:val="595959"/>
      <w:sz w:val="28"/>
      <w:szCs w:val="28"/>
      <w:spacing w:val="15"/>
    </w:rPr>
  </w:style>
  <w:style w:type="paragraph" w:styleId="a5">
    <w:name w:val="Quote"/>
    <w:uiPriority w:val="29"/>
    <w:basedOn w:val="a"/>
    <w:next w:val="a"/>
    <w:link w:val="Char1"/>
    <w:qFormat/>
    <w:pPr>
      <w:jc w:val="center"/>
      <w:spacing w:before="160"/>
    </w:pPr>
    <w:rPr>
      <w:i/>
      <w:iCs/>
      <w:color w:val="3F3F3F"/>
    </w:rPr>
  </w:style>
  <w:style w:type="character" w:customStyle="1" w:styleId="Char1">
    <w:name w:val="인용 Char"/>
    <w:uiPriority w:val="29"/>
    <w:basedOn w:val="a0"/>
    <w:link w:val="a5"/>
    <w:rPr>
      <w:i/>
      <w:iCs/>
      <w:color w:val="3F3F3F"/>
    </w:rPr>
  </w:style>
  <w:style w:type="paragraph" w:styleId="a6">
    <w:name w:val="List Paragraph"/>
    <w:uiPriority w:val="34"/>
    <w:basedOn w:val="a"/>
    <w:qFormat/>
    <w:pPr>
      <w:ind w:left="720"/>
      <w:contextualSpacing/>
    </w:pPr>
  </w:style>
  <w:style w:type="character" w:styleId="a7">
    <w:name w:val="Intense Emphasis"/>
    <w:uiPriority w:val="21"/>
    <w:basedOn w:val="a0"/>
    <w:qFormat/>
    <w:rPr>
      <w:i/>
      <w:iCs/>
      <w:color w:val="104861"/>
    </w:rPr>
  </w:style>
  <w:style w:type="paragraph" w:styleId="a8">
    <w:name w:val="Intense Quote"/>
    <w:uiPriority w:val="30"/>
    <w:basedOn w:val="a"/>
    <w:next w:val="a"/>
    <w:link w:val="Char2"/>
    <w:qFormat/>
    <w:pPr>
      <w:ind w:left="864" w:right="864"/>
      <w:jc w:val="center"/>
      <w:pBdr>
        <w:top w:val="single" w:sz="4" w:space="10" w:color="104861" w:themeColor="accent1" w:themeShade="bf"/>
        <w:bottom w:val="single" w:sz="4" w:space="10" w:color="104861" w:themeColor="accent1" w:themeShade="bf"/>
      </w:pBdr>
      <w:spacing w:after="360" w:before="360"/>
    </w:pPr>
    <w:rPr>
      <w:i/>
      <w:iCs/>
      <w:color w:val="104861"/>
    </w:rPr>
  </w:style>
  <w:style w:type="character" w:customStyle="1" w:styleId="Char2">
    <w:name w:val="강한 인용 Char"/>
    <w:uiPriority w:val="30"/>
    <w:basedOn w:val="a0"/>
    <w:link w:val="a8"/>
    <w:rPr>
      <w:i/>
      <w:iCs/>
      <w:color w:val="104861"/>
    </w:rPr>
  </w:style>
  <w:style w:type="character" w:styleId="a9">
    <w:name w:val="Intense Reference"/>
    <w:uiPriority w:val="32"/>
    <w:basedOn w:val="a0"/>
    <w:qFormat/>
    <w:rPr>
      <w:b/>
      <w:bCs/>
      <w:smallCaps/>
      <w:color w:val="104861"/>
      <w:spacing w:val="5"/>
    </w:rPr>
  </w:style>
  <w:style w:type="character" w:styleId="aa">
    <w:name w:val="Hyperlink"/>
    <w:uiPriority w:val="99"/>
    <w:basedOn w:val="a0"/>
    <w:unhideWhenUsed/>
    <w:rPr>
      <w:color w:val="467886"/>
      <w:u w:val="single" w:color="auto"/>
    </w:rPr>
  </w:style>
  <w:style w:type="character" w:customStyle="1" w:styleId="ab">
    <w:name w:val="Unresolved Mention"/>
    <w:uiPriority w:val="99"/>
    <w:basedOn w:val="a0"/>
    <w:semiHidden/>
    <w:unhideWhenUsed/>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 Id="rId3" Type="http://schemas.openxmlformats.org/officeDocument/2006/relationships/image" Target="media/image3.png" /><Relationship Id="rId4" Type="http://schemas.openxmlformats.org/officeDocument/2006/relationships/image" Target="media/image4.png" /><Relationship Id="rId5" Type="http://schemas.openxmlformats.org/officeDocument/2006/relationships/image" Target="media/image5.png" /><Relationship Id="rId6" Type="http://schemas.openxmlformats.org/officeDocument/2006/relationships/image" Target="media/image6.png" /><Relationship Id="rId7" Type="http://schemas.openxmlformats.org/officeDocument/2006/relationships/image" Target="media/image7.png" /><Relationship Id="rId8" Type="http://schemas.openxmlformats.org/officeDocument/2006/relationships/image" Target="media/image8.png" /><Relationship Id="rId9" Type="http://schemas.openxmlformats.org/officeDocument/2006/relationships/image" Target="media/image9.png" /><Relationship Id="rId10" Type="http://schemas.openxmlformats.org/officeDocument/2006/relationships/image" Target="media/image10.png" /><Relationship Id="rId11" Type="http://schemas.openxmlformats.org/officeDocument/2006/relationships/image" Target="media/image11.png" /><Relationship Id="rId12" Type="http://schemas.openxmlformats.org/officeDocument/2006/relationships/image" Target="media/image12.png" /><Relationship Id="rId13" Type="http://schemas.openxmlformats.org/officeDocument/2006/relationships/image" Target="media/image13.png" /><Relationship Id="rId14" Type="http://schemas.openxmlformats.org/officeDocument/2006/relationships/image" Target="media/image14.png" /><Relationship Id="rId15" Type="http://schemas.openxmlformats.org/officeDocument/2006/relationships/image" Target="media/image15.png" /><Relationship Id="rId16" Type="http://schemas.openxmlformats.org/officeDocument/2006/relationships/styles" Target="styles.xml" /><Relationship Id="rId17" Type="http://schemas.openxmlformats.org/officeDocument/2006/relationships/settings" Target="settings.xml" /><Relationship Id="rId18" Type="http://schemas.openxmlformats.org/officeDocument/2006/relationships/fontTable" Target="fontTable.xml" /><Relationship Id="rId19" Type="http://schemas.openxmlformats.org/officeDocument/2006/relationships/webSettings" Target="webSettings.xml" /><Relationship Id="rId20" Type="http://schemas.openxmlformats.org/officeDocument/2006/relationships/numbering" Target="numbering.xml" /><Relationship Id="rId21" Type="http://schemas.openxmlformats.org/officeDocument/2006/relationships/theme" Target="theme/theme1.xml" /></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Mymr" typeface="Myanmar Text"/>
      </a:majorFont>
      <a:minorFont>
        <a:latin typeface="맑은 고딕"/>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Mymr" typeface="Myanmar Text"/>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a:solidFill>
            <a:schemeClr val="phClr"/>
          </a:solidFill>
          <a:miter lim="800000"/>
        </a:ln>
        <a:ln w="12700">
          <a:solidFill>
            <a:schemeClr val="phClr"/>
          </a:solidFill>
          <a:miter lim="800000"/>
        </a:ln>
        <a:ln w="19050">
          <a:solidFill>
            <a:schemeClr val="phClr"/>
          </a:solidFill>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Word</Application>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민성 손</dc:creator>
  <cp:keywords/>
  <dc:description/>
  <cp:lastModifiedBy>andls</cp:lastModifiedBy>
  <cp:revision>1</cp:revision>
  <dcterms:created xsi:type="dcterms:W3CDTF">2025-01-07T11:12:00Z</dcterms:created>
  <dcterms:modified xsi:type="dcterms:W3CDTF">2025-01-09T08:43:18Z</dcterms:modified>
  <cp:version>1200.0100.01</cp:version>
</cp:coreProperties>
</file>