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C7895" w14:textId="0C5602B1" w:rsidR="00AB296D" w:rsidRPr="00DE2D65" w:rsidRDefault="00BB2365" w:rsidP="00DE2D65">
      <w:pPr>
        <w:pStyle w:val="a3"/>
        <w:numPr>
          <w:ilvl w:val="0"/>
          <w:numId w:val="2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t xml:space="preserve">SMBC (미쓰이 </w:t>
      </w:r>
      <w:proofErr w:type="spellStart"/>
      <w:r w:rsidRPr="00DE2D65">
        <w:rPr>
          <w:rFonts w:hint="eastAsia"/>
          <w:szCs w:val="20"/>
        </w:rPr>
        <w:t>스미모토</w:t>
      </w:r>
      <w:proofErr w:type="spellEnd"/>
      <w:r w:rsidRPr="00DE2D65">
        <w:rPr>
          <w:rFonts w:hint="eastAsia"/>
          <w:szCs w:val="20"/>
        </w:rPr>
        <w:t xml:space="preserve"> 은행)</w:t>
      </w:r>
    </w:p>
    <w:p w14:paraId="3C05BFEA" w14:textId="51A243CE" w:rsidR="00BB2365" w:rsidRPr="00DE2D65" w:rsidRDefault="00BB2365" w:rsidP="00BB2365">
      <w:pPr>
        <w:pStyle w:val="a3"/>
        <w:ind w:leftChars="0"/>
        <w:rPr>
          <w:szCs w:val="20"/>
        </w:rPr>
      </w:pPr>
      <w:r w:rsidRPr="00DE2D65">
        <w:rPr>
          <w:rFonts w:hint="eastAsia"/>
          <w:szCs w:val="20"/>
        </w:rPr>
        <w:t>SMBC는 일본의 대표적인 금융 서비스 기업으로, 고객들에게 다양한 금융 서비스를 제공</w:t>
      </w:r>
      <w:r w:rsidRPr="00DE2D65">
        <w:rPr>
          <w:szCs w:val="20"/>
        </w:rPr>
        <w:t>하는</w:t>
      </w:r>
      <w:r w:rsidRPr="00DE2D65">
        <w:rPr>
          <w:rFonts w:hint="eastAsia"/>
          <w:szCs w:val="20"/>
        </w:rPr>
        <w:t xml:space="preserve"> 기업. 주요 사업으로는, 리테일 뱅킹, 기업 금융, 투자 은행, 및 국제 금융이 있으며, SMBC의 리테일 뱅킹 부분은 예금, 대출, 자산 관리, 신용카드 발행 등 일본 고객들에게 다양한 금융 서비스를 제공하여 높은 인지도 보유중. SMBC는 MUFG, </w:t>
      </w:r>
      <w:proofErr w:type="spellStart"/>
      <w:r w:rsidRPr="00DE2D65">
        <w:rPr>
          <w:rFonts w:hint="eastAsia"/>
          <w:szCs w:val="20"/>
        </w:rPr>
        <w:t>미즈호</w:t>
      </w:r>
      <w:proofErr w:type="spellEnd"/>
      <w:r w:rsidRPr="00DE2D65">
        <w:rPr>
          <w:rFonts w:hint="eastAsia"/>
          <w:szCs w:val="20"/>
        </w:rPr>
        <w:t xml:space="preserve"> 금융그룹과 함께 일본의 3대 뱅크로, </w:t>
      </w:r>
      <w:r w:rsidR="006D01DA" w:rsidRPr="00DE2D65">
        <w:rPr>
          <w:rFonts w:hint="eastAsia"/>
          <w:szCs w:val="20"/>
        </w:rPr>
        <w:t xml:space="preserve">2022년 회계연도 기준으로 8,058억 엔의 순수익을 기록. 또한, 일본의 간편결제 시장의 주요 서비스인 </w:t>
      </w:r>
      <w:proofErr w:type="spellStart"/>
      <w:r w:rsidR="006D01DA" w:rsidRPr="00DE2D65">
        <w:rPr>
          <w:rFonts w:hint="eastAsia"/>
          <w:szCs w:val="20"/>
        </w:rPr>
        <w:t>PayPay</w:t>
      </w:r>
      <w:proofErr w:type="spellEnd"/>
      <w:r w:rsidR="006D01DA" w:rsidRPr="00DE2D65">
        <w:rPr>
          <w:rFonts w:hint="eastAsia"/>
          <w:szCs w:val="20"/>
        </w:rPr>
        <w:t xml:space="preserve"> 와 </w:t>
      </w:r>
      <w:proofErr w:type="spellStart"/>
      <w:r w:rsidR="006D01DA" w:rsidRPr="00DE2D65">
        <w:rPr>
          <w:rFonts w:hint="eastAsia"/>
          <w:szCs w:val="20"/>
        </w:rPr>
        <w:t>LinePay</w:t>
      </w:r>
      <w:proofErr w:type="spellEnd"/>
      <w:r w:rsidR="006D01DA" w:rsidRPr="00DE2D65">
        <w:rPr>
          <w:rFonts w:hint="eastAsia"/>
          <w:szCs w:val="20"/>
        </w:rPr>
        <w:t xml:space="preserve">과의 협업을 통해, 간편결제 시장내의 입지를 강화. 또한, 일본의 P2P 대출 시장에서 30%의 점유율을 보유하고 있어, 금융 시장 및 분야에서 입지를 강화 중. </w:t>
      </w:r>
    </w:p>
    <w:p w14:paraId="392F77D7" w14:textId="6772A767" w:rsidR="006D01DA" w:rsidRPr="00DE2D65" w:rsidRDefault="006D01DA" w:rsidP="006D01DA">
      <w:pPr>
        <w:pStyle w:val="a3"/>
        <w:numPr>
          <w:ilvl w:val="0"/>
          <w:numId w:val="1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t>2023년도 연간 결산서:</w:t>
      </w:r>
    </w:p>
    <w:p w14:paraId="235A41E9" w14:textId="75127C86" w:rsidR="006D01DA" w:rsidRPr="00DE2D65" w:rsidRDefault="006D01DA" w:rsidP="006D01DA">
      <w:pPr>
        <w:pStyle w:val="a3"/>
        <w:ind w:leftChars="0"/>
        <w:rPr>
          <w:szCs w:val="20"/>
        </w:rPr>
      </w:pPr>
      <w:hyperlink r:id="rId6" w:history="1">
        <w:r w:rsidRPr="00DE2D65">
          <w:rPr>
            <w:rStyle w:val="a4"/>
            <w:szCs w:val="20"/>
          </w:rPr>
          <w:t>https://www.smfg.co.jp/english/investor/library/annual/fy2023e_f01_pdf/fy2023e_f01_00.pdf</w:t>
        </w:r>
      </w:hyperlink>
    </w:p>
    <w:p w14:paraId="324132EF" w14:textId="1C40FA95" w:rsidR="006D01DA" w:rsidRPr="00DE2D65" w:rsidRDefault="006D01DA" w:rsidP="006D01DA">
      <w:pPr>
        <w:pStyle w:val="a3"/>
        <w:ind w:leftChars="0"/>
        <w:rPr>
          <w:szCs w:val="20"/>
        </w:rPr>
      </w:pPr>
      <w:r w:rsidRPr="00DE2D65">
        <w:rPr>
          <w:rFonts w:hint="eastAsia"/>
          <w:szCs w:val="20"/>
        </w:rPr>
        <w:t>2022년도 연간 결산서:</w:t>
      </w:r>
    </w:p>
    <w:p w14:paraId="57E83C32" w14:textId="3DE8F7C1" w:rsidR="006D01DA" w:rsidRPr="00DE2D65" w:rsidRDefault="006D01DA" w:rsidP="006D01DA">
      <w:pPr>
        <w:pStyle w:val="a3"/>
        <w:ind w:leftChars="0"/>
        <w:rPr>
          <w:szCs w:val="20"/>
        </w:rPr>
      </w:pPr>
      <w:hyperlink r:id="rId7" w:history="1">
        <w:r w:rsidRPr="00DE2D65">
          <w:rPr>
            <w:rStyle w:val="a4"/>
            <w:szCs w:val="20"/>
          </w:rPr>
          <w:t>https://www.smfg.co.jp/english/investor/library/annual/fy2022e_f01_pdf/fy2022e_f01_00.pdf</w:t>
        </w:r>
      </w:hyperlink>
    </w:p>
    <w:p w14:paraId="686DFE18" w14:textId="4C268B49" w:rsidR="006D01DA" w:rsidRPr="00DE2D65" w:rsidRDefault="006D01DA" w:rsidP="006D01DA">
      <w:pPr>
        <w:pStyle w:val="a3"/>
        <w:numPr>
          <w:ilvl w:val="0"/>
          <w:numId w:val="1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t>사업보고서 및 중장기 사업계획서</w:t>
      </w:r>
    </w:p>
    <w:p w14:paraId="6C5E39F5" w14:textId="24EAB103" w:rsidR="006D01DA" w:rsidRPr="00DE2D65" w:rsidRDefault="006D01DA" w:rsidP="006D01DA">
      <w:pPr>
        <w:pStyle w:val="a3"/>
        <w:ind w:leftChars="0"/>
        <w:rPr>
          <w:szCs w:val="20"/>
        </w:rPr>
      </w:pPr>
      <w:r w:rsidRPr="00DE2D65">
        <w:rPr>
          <w:rFonts w:hint="eastAsia"/>
          <w:szCs w:val="20"/>
        </w:rPr>
        <w:t>SMBC는 2023년부터 2025년까지의 중기 경영 계획을 설립하며 사회적 가치와 경제적 가치 창출을 추구 및 목표</w:t>
      </w:r>
      <w:r w:rsidRPr="00DE2D65">
        <w:rPr>
          <w:szCs w:val="20"/>
        </w:rPr>
        <w:t>하고</w:t>
      </w:r>
      <w:r w:rsidRPr="00DE2D65">
        <w:rPr>
          <w:rFonts w:hint="eastAsia"/>
          <w:szCs w:val="20"/>
        </w:rPr>
        <w:t xml:space="preserve"> 있음. SMBC는 5가지의 사회적 문제를 중점적으로 해결하기 위해 노력하는 중. 위 5개의 사회적 문제로는 환경 문제 해결, DE&amp;I 및 인권, 빈곤 격차 해소, 저출산 및 고령화 대응, 일본의 재성장을 중심으로 문제 해결을 위해 노력. SMBC의 중기 사업 계획으로는 </w:t>
      </w:r>
      <w:r w:rsidR="00161A52" w:rsidRPr="00DE2D65">
        <w:rPr>
          <w:rFonts w:hint="eastAsia"/>
          <w:szCs w:val="20"/>
        </w:rPr>
        <w:t>멀티 프랜차이즈 전략으로, 아시아를 중심으로 하여 현지화 된 금융 서비스 제공 및 지역 기반 비즈니스 강화. 또한, 이로 인한 글로벌 시장에서의 다양한 금융 서비스 제공. 글로벌 확장 정책으로 인한, 아시아 시장의 비중 확대 및 미국 및 유럽 시장에서의 새로운 투자 기회 모색. 디지털화 촉진으로 인한 DX (Digital Transformation</w:t>
      </w:r>
      <w:r w:rsidR="00161A52" w:rsidRPr="00DE2D65">
        <w:rPr>
          <w:szCs w:val="20"/>
        </w:rPr>
        <w:t>)으로</w:t>
      </w:r>
      <w:r w:rsidR="00161A52" w:rsidRPr="00DE2D65">
        <w:rPr>
          <w:rFonts w:hint="eastAsia"/>
          <w:szCs w:val="20"/>
        </w:rPr>
        <w:t xml:space="preserve"> 인한 고객 경험 개선 및 온라인 금융 플랫폼 확장. SMBC의 재무 목표로는 </w:t>
      </w:r>
      <w:r w:rsidR="004E0434" w:rsidRPr="00DE2D65">
        <w:rPr>
          <w:rFonts w:hint="eastAsia"/>
          <w:szCs w:val="20"/>
        </w:rPr>
        <w:t>2025년까지 ROE (Return on Equity)를 10% 이상 달성 및 아시아 시장에서의 순이익 비중을 25%까지 확대.</w:t>
      </w:r>
    </w:p>
    <w:p w14:paraId="3A889575" w14:textId="06615301" w:rsidR="004E0434" w:rsidRPr="00DE2D65" w:rsidRDefault="004E0434" w:rsidP="004E0434">
      <w:pPr>
        <w:pStyle w:val="a3"/>
        <w:numPr>
          <w:ilvl w:val="0"/>
          <w:numId w:val="1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t>회사 비전 및 경영자의 인사 글</w:t>
      </w:r>
    </w:p>
    <w:p w14:paraId="6AE181E7" w14:textId="2B1AFC2B" w:rsidR="004E0434" w:rsidRPr="00DE2D65" w:rsidRDefault="004E0434" w:rsidP="004E0434">
      <w:pPr>
        <w:pStyle w:val="a3"/>
        <w:ind w:leftChars="0"/>
        <w:rPr>
          <w:szCs w:val="20"/>
        </w:rPr>
      </w:pPr>
      <w:r w:rsidRPr="00DE2D65">
        <w:rPr>
          <w:rFonts w:hint="eastAsia"/>
          <w:szCs w:val="20"/>
        </w:rPr>
        <w:t xml:space="preserve">SMBC의 비전 및 이념으로는 신뢰와 함께 고객 및 사회와 함께 발전하는, 글로벌 솔루션 제공자를 목표로 두고, 5가지의 가치를 모든 임직원이 공유하고 있다. 5가지의 가치로는 Integrity, Customer First, Proactive &amp; Innovative, Speed &amp; Quality, 그리고 Team </w:t>
      </w:r>
      <w:r w:rsidRPr="00DE2D65">
        <w:rPr>
          <w:szCs w:val="20"/>
        </w:rPr>
        <w:t>“</w:t>
      </w:r>
      <w:r w:rsidRPr="00DE2D65">
        <w:rPr>
          <w:rFonts w:hint="eastAsia"/>
          <w:szCs w:val="20"/>
        </w:rPr>
        <w:t>SMBC Group</w:t>
      </w:r>
      <w:r w:rsidRPr="00DE2D65">
        <w:rPr>
          <w:szCs w:val="20"/>
        </w:rPr>
        <w:t>”</w:t>
      </w:r>
      <w:r w:rsidRPr="00DE2D65">
        <w:rPr>
          <w:rFonts w:hint="eastAsia"/>
          <w:szCs w:val="20"/>
        </w:rPr>
        <w:t xml:space="preserve"> 이 있다.</w:t>
      </w:r>
    </w:p>
    <w:p w14:paraId="15AFA4DA" w14:textId="614AE284" w:rsidR="004E0434" w:rsidRPr="00DE2D65" w:rsidRDefault="004E0434" w:rsidP="004E0434">
      <w:pPr>
        <w:pStyle w:val="a3"/>
        <w:numPr>
          <w:ilvl w:val="0"/>
          <w:numId w:val="1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lastRenderedPageBreak/>
        <w:t>평판</w:t>
      </w:r>
      <w:r w:rsidRPr="00DE2D65">
        <w:rPr>
          <w:rFonts w:hint="eastAsia"/>
          <w:noProof/>
          <w:szCs w:val="20"/>
        </w:rPr>
        <w:drawing>
          <wp:inline distT="0" distB="0" distL="0" distR="0" wp14:anchorId="26F4FCD0" wp14:editId="4FC70946">
            <wp:extent cx="5724525" cy="3933825"/>
            <wp:effectExtent l="0" t="0" r="9525" b="9525"/>
            <wp:docPr id="104522978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D65">
        <w:rPr>
          <w:rFonts w:hint="eastAsia"/>
          <w:noProof/>
          <w:szCs w:val="20"/>
        </w:rPr>
        <w:drawing>
          <wp:inline distT="0" distB="0" distL="0" distR="0" wp14:anchorId="7DD79D65" wp14:editId="6DC149DA">
            <wp:extent cx="5724525" cy="3105150"/>
            <wp:effectExtent l="0" t="0" r="9525" b="0"/>
            <wp:docPr id="115799044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D65">
        <w:rPr>
          <w:rFonts w:hint="eastAsia"/>
          <w:noProof/>
          <w:szCs w:val="20"/>
        </w:rPr>
        <w:lastRenderedPageBreak/>
        <w:drawing>
          <wp:inline distT="0" distB="0" distL="0" distR="0" wp14:anchorId="63C2895B" wp14:editId="79342A62">
            <wp:extent cx="5734050" cy="6943725"/>
            <wp:effectExtent l="0" t="0" r="0" b="9525"/>
            <wp:docPr id="81493689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9FBCB" w14:textId="5C0EA159" w:rsidR="004E0434" w:rsidRPr="00DE2D65" w:rsidRDefault="00DE2D65" w:rsidP="004E0434">
      <w:pPr>
        <w:pStyle w:val="a3"/>
        <w:numPr>
          <w:ilvl w:val="0"/>
          <w:numId w:val="1"/>
        </w:numPr>
        <w:ind w:leftChars="0"/>
        <w:rPr>
          <w:szCs w:val="20"/>
        </w:rPr>
      </w:pPr>
      <w:r w:rsidRPr="00DE2D65">
        <w:rPr>
          <w:rFonts w:hint="eastAsia"/>
          <w:szCs w:val="20"/>
        </w:rPr>
        <w:t>채용 정보</w:t>
      </w:r>
    </w:p>
    <w:p w14:paraId="09FC2391" w14:textId="3B9FC50B" w:rsidR="00DE2D65" w:rsidRPr="00DE2D65" w:rsidRDefault="00DE2D65" w:rsidP="00DE2D65">
      <w:pPr>
        <w:pStyle w:val="a3"/>
        <w:ind w:leftChars="0"/>
        <w:rPr>
          <w:rFonts w:hint="eastAsia"/>
          <w:szCs w:val="20"/>
        </w:rPr>
      </w:pPr>
      <w:r w:rsidRPr="00DE2D65">
        <w:rPr>
          <w:noProof/>
          <w:szCs w:val="20"/>
        </w:rPr>
        <w:lastRenderedPageBreak/>
        <w:drawing>
          <wp:inline distT="0" distB="0" distL="0" distR="0" wp14:anchorId="62B27076" wp14:editId="52A64F04">
            <wp:extent cx="5724525" cy="1847850"/>
            <wp:effectExtent l="0" t="0" r="9525" b="0"/>
            <wp:docPr id="134229346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D65">
        <w:rPr>
          <w:rFonts w:hint="eastAsia"/>
          <w:noProof/>
          <w:szCs w:val="20"/>
        </w:rPr>
        <w:drawing>
          <wp:inline distT="0" distB="0" distL="0" distR="0" wp14:anchorId="42EF4293" wp14:editId="1E8565C1">
            <wp:extent cx="5724525" cy="3571875"/>
            <wp:effectExtent l="0" t="0" r="9525" b="9525"/>
            <wp:docPr id="1532108137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D65">
        <w:rPr>
          <w:rFonts w:hint="eastAsia"/>
          <w:noProof/>
          <w:szCs w:val="20"/>
        </w:rPr>
        <w:lastRenderedPageBreak/>
        <w:drawing>
          <wp:inline distT="0" distB="0" distL="0" distR="0" wp14:anchorId="10B757D8" wp14:editId="22836B8F">
            <wp:extent cx="5724525" cy="3962400"/>
            <wp:effectExtent l="0" t="0" r="9525" b="0"/>
            <wp:docPr id="1351768400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D65">
        <w:rPr>
          <w:rFonts w:hint="eastAsia"/>
          <w:noProof/>
          <w:szCs w:val="20"/>
        </w:rPr>
        <w:drawing>
          <wp:inline distT="0" distB="0" distL="0" distR="0" wp14:anchorId="1FC5FD2B" wp14:editId="162C46AB">
            <wp:extent cx="5724525" cy="542925"/>
            <wp:effectExtent l="0" t="0" r="9525" b="9525"/>
            <wp:docPr id="63735018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2D65" w:rsidRPr="00DE2D6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A800B4"/>
    <w:multiLevelType w:val="hybridMultilevel"/>
    <w:tmpl w:val="5936F2FA"/>
    <w:lvl w:ilvl="0" w:tplc="F3267AA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2AA0F6B"/>
    <w:multiLevelType w:val="hybridMultilevel"/>
    <w:tmpl w:val="93489E00"/>
    <w:lvl w:ilvl="0" w:tplc="747E8C8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356271586">
    <w:abstractNumId w:val="0"/>
  </w:num>
  <w:num w:numId="2" w16cid:durableId="1491554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6D"/>
    <w:rsid w:val="00100BC2"/>
    <w:rsid w:val="00161A52"/>
    <w:rsid w:val="001B19C9"/>
    <w:rsid w:val="00201338"/>
    <w:rsid w:val="004E0434"/>
    <w:rsid w:val="006D01DA"/>
    <w:rsid w:val="00AB296D"/>
    <w:rsid w:val="00BB2365"/>
    <w:rsid w:val="00BC5014"/>
    <w:rsid w:val="00DE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0AA4"/>
  <w15:chartTrackingRefBased/>
  <w15:docId w15:val="{63D1A24E-4B09-428E-9A50-6D756542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65"/>
    <w:pPr>
      <w:ind w:leftChars="400" w:left="800"/>
    </w:pPr>
  </w:style>
  <w:style w:type="character" w:styleId="a4">
    <w:name w:val="Hyperlink"/>
    <w:basedOn w:val="a0"/>
    <w:uiPriority w:val="99"/>
    <w:unhideWhenUsed/>
    <w:rsid w:val="006D01D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0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4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www.smfg.co.jp/english/investor/library/annual/fy2022e_f01_pdf/fy2022e_f01_00.pdf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www.smfg.co.jp/english/investor/library/annual/fy2023e_f01_pdf/fy2023e_f01_00.pdf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E5DD6-5CE8-4E90-89D3-2CB0292D0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 Hoon Kim</dc:creator>
  <cp:keywords/>
  <dc:description/>
  <cp:lastModifiedBy>Si Hoon Kim</cp:lastModifiedBy>
  <cp:revision>1</cp:revision>
  <dcterms:created xsi:type="dcterms:W3CDTF">2024-11-28T05:05:00Z</dcterms:created>
  <dcterms:modified xsi:type="dcterms:W3CDTF">2024-11-28T06:00:00Z</dcterms:modified>
</cp:coreProperties>
</file>